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A700" w14:textId="1C13AB1B" w:rsidR="00BB0E8C" w:rsidRPr="006F1409" w:rsidRDefault="00E468D1" w:rsidP="00CB36EB">
      <w:pPr>
        <w:shd w:val="clear" w:color="auto" w:fill="DEEAF6" w:themeFill="accent5" w:themeFillTint="33"/>
        <w:spacing w:after="0" w:line="240" w:lineRule="auto"/>
        <w:jc w:val="both"/>
        <w:rPr>
          <w:rFonts w:cstheme="minorHAnsi"/>
          <w:color w:val="0070C0"/>
          <w:sz w:val="24"/>
          <w:lang w:val="en-US"/>
        </w:rPr>
      </w:pPr>
      <w:r w:rsidRPr="006F1409">
        <w:rPr>
          <w:rFonts w:cstheme="minorHAnsi"/>
          <w:color w:val="0070C0"/>
          <w:sz w:val="24"/>
          <w:lang w:val="en-US"/>
        </w:rPr>
        <w:t xml:space="preserve">This </w:t>
      </w:r>
      <w:r w:rsidR="00756FF1">
        <w:rPr>
          <w:rFonts w:cstheme="minorHAnsi"/>
          <w:color w:val="0070C0"/>
          <w:sz w:val="24"/>
          <w:lang w:val="en-US"/>
        </w:rPr>
        <w:t>brief</w:t>
      </w:r>
      <w:r w:rsidRPr="006F1409">
        <w:rPr>
          <w:rFonts w:cstheme="minorHAnsi"/>
          <w:color w:val="0070C0"/>
          <w:sz w:val="24"/>
          <w:lang w:val="en-US"/>
        </w:rPr>
        <w:t xml:space="preserve"> examines two scenarios for heat pump deployment in the European Union (EU27): one of fast deployment, in which all European Commission targets are met on time, and another of slow deployment, in which only long-term targets are eventually achieved.</w:t>
      </w:r>
    </w:p>
    <w:p w14:paraId="19609F14" w14:textId="77777777" w:rsidR="005D5A4D" w:rsidRDefault="005D5A4D" w:rsidP="00496D9F">
      <w:pPr>
        <w:spacing w:after="0" w:line="240" w:lineRule="auto"/>
        <w:jc w:val="both"/>
        <w:rPr>
          <w:rFonts w:cstheme="minorHAnsi"/>
          <w:color w:val="404040" w:themeColor="text1" w:themeTint="BF"/>
          <w:sz w:val="24"/>
          <w:lang w:val="en-US"/>
        </w:rPr>
      </w:pPr>
    </w:p>
    <w:p w14:paraId="639AB8BD" w14:textId="0A8131D0" w:rsidR="006B523F" w:rsidRDefault="00231236" w:rsidP="00496D9F">
      <w:pPr>
        <w:spacing w:after="0" w:line="240" w:lineRule="auto"/>
        <w:jc w:val="both"/>
        <w:rPr>
          <w:rFonts w:cstheme="minorHAnsi"/>
          <w:color w:val="404040" w:themeColor="text1" w:themeTint="BF"/>
          <w:sz w:val="24"/>
          <w:lang w:val="en-US"/>
        </w:rPr>
      </w:pPr>
      <w:r w:rsidRPr="00231236">
        <w:rPr>
          <w:rFonts w:cstheme="minorHAnsi"/>
          <w:color w:val="404040" w:themeColor="text1" w:themeTint="BF"/>
          <w:sz w:val="24"/>
          <w:lang w:val="en-US"/>
        </w:rPr>
        <w:t>The EU has set ambitious deadlines for the adoption of heat pumps (HP) in Europe</w:t>
      </w:r>
      <w:r w:rsidR="006B523F">
        <w:rPr>
          <w:rFonts w:cstheme="minorHAnsi"/>
          <w:color w:val="404040" w:themeColor="text1" w:themeTint="BF"/>
          <w:sz w:val="24"/>
          <w:lang w:val="en-US"/>
        </w:rPr>
        <w:t>:</w:t>
      </w:r>
    </w:p>
    <w:p w14:paraId="45050598" w14:textId="7EEC1490" w:rsidR="006B523F" w:rsidRDefault="006B523F" w:rsidP="006B523F">
      <w:pPr>
        <w:pStyle w:val="Prrafodelista"/>
        <w:numPr>
          <w:ilvl w:val="0"/>
          <w:numId w:val="2"/>
        </w:numPr>
        <w:spacing w:after="0" w:line="240" w:lineRule="auto"/>
        <w:jc w:val="both"/>
        <w:rPr>
          <w:rFonts w:cstheme="minorHAnsi"/>
          <w:color w:val="404040" w:themeColor="text1" w:themeTint="BF"/>
          <w:sz w:val="24"/>
          <w:lang w:val="en-US"/>
        </w:rPr>
      </w:pPr>
      <w:r w:rsidRPr="00CD2A7B">
        <w:rPr>
          <w:rFonts w:cstheme="minorHAnsi"/>
          <w:b/>
          <w:color w:val="FF9933"/>
          <w:sz w:val="24"/>
          <w:lang w:val="en-US"/>
        </w:rPr>
        <w:t>2030 TARGET</w:t>
      </w:r>
      <w:r w:rsidR="00CD2A7B" w:rsidRPr="00CD2A7B">
        <w:rPr>
          <w:rFonts w:cstheme="minorHAnsi"/>
          <w:b/>
          <w:color w:val="FF9933"/>
          <w:sz w:val="24"/>
          <w:lang w:val="en-US"/>
        </w:rPr>
        <w:t xml:space="preserve"> </w:t>
      </w:r>
      <w:r w:rsidR="00CD2A7B" w:rsidRPr="00CD2A7B">
        <w:rPr>
          <w:rFonts w:cstheme="minorHAnsi"/>
          <w:color w:val="FF9933"/>
          <w:sz w:val="24"/>
          <w:lang w:val="en-US"/>
        </w:rPr>
        <w:t>(REPowerEU Action Plan, May 2022)</w:t>
      </w:r>
      <w:r w:rsidRPr="00CD2A7B">
        <w:rPr>
          <w:rFonts w:cstheme="minorHAnsi"/>
          <w:b/>
          <w:color w:val="FF9933"/>
          <w:sz w:val="24"/>
          <w:lang w:val="en-US"/>
        </w:rPr>
        <w:t>:</w:t>
      </w:r>
      <w:r>
        <w:rPr>
          <w:rFonts w:cstheme="minorHAnsi"/>
          <w:color w:val="404040" w:themeColor="text1" w:themeTint="BF"/>
          <w:sz w:val="24"/>
          <w:lang w:val="en-US"/>
        </w:rPr>
        <w:t xml:space="preserve"> </w:t>
      </w:r>
      <w:r w:rsidR="00B80996" w:rsidRPr="0099408B">
        <w:rPr>
          <w:rFonts w:cstheme="minorHAnsi"/>
          <w:b/>
          <w:bCs/>
          <w:color w:val="404040" w:themeColor="text1" w:themeTint="BF"/>
          <w:sz w:val="24"/>
          <w:lang w:val="en-US"/>
        </w:rPr>
        <w:t>I</w:t>
      </w:r>
      <w:r w:rsidR="00231236" w:rsidRPr="0099408B">
        <w:rPr>
          <w:rFonts w:cstheme="minorHAnsi"/>
          <w:b/>
          <w:bCs/>
          <w:color w:val="404040" w:themeColor="text1" w:themeTint="BF"/>
          <w:sz w:val="24"/>
          <w:lang w:val="en-US"/>
        </w:rPr>
        <w:t>nstall 30 million</w:t>
      </w:r>
      <w:r w:rsidR="00B80996" w:rsidRPr="0099408B">
        <w:rPr>
          <w:rStyle w:val="Refdenotaalpie"/>
          <w:rFonts w:cstheme="minorHAnsi"/>
          <w:b/>
          <w:bCs/>
          <w:color w:val="404040" w:themeColor="text1" w:themeTint="BF"/>
          <w:sz w:val="24"/>
          <w:lang w:val="en-US"/>
        </w:rPr>
        <w:footnoteReference w:id="1"/>
      </w:r>
      <w:r w:rsidR="00C554F3" w:rsidRPr="0099408B">
        <w:rPr>
          <w:rFonts w:cstheme="minorHAnsi"/>
          <w:b/>
          <w:bCs/>
          <w:color w:val="404040" w:themeColor="text1" w:themeTint="BF"/>
          <w:sz w:val="24"/>
          <w:lang w:val="en-US"/>
        </w:rPr>
        <w:t xml:space="preserve"> (M)</w:t>
      </w:r>
      <w:r w:rsidR="00231236" w:rsidRPr="0099408B">
        <w:rPr>
          <w:rFonts w:cstheme="minorHAnsi"/>
          <w:b/>
          <w:bCs/>
          <w:color w:val="404040" w:themeColor="text1" w:themeTint="BF"/>
          <w:sz w:val="24"/>
          <w:lang w:val="en-US"/>
        </w:rPr>
        <w:t xml:space="preserve"> new HPs by 2030</w:t>
      </w:r>
      <w:r w:rsidR="00B80996">
        <w:rPr>
          <w:rFonts w:cstheme="minorHAnsi"/>
          <w:color w:val="404040" w:themeColor="text1" w:themeTint="BF"/>
          <w:sz w:val="24"/>
          <w:lang w:val="en-US"/>
        </w:rPr>
        <w:t>.</w:t>
      </w:r>
      <w:r w:rsidR="00231236" w:rsidRPr="006B523F">
        <w:rPr>
          <w:rFonts w:cstheme="minorHAnsi"/>
          <w:color w:val="404040" w:themeColor="text1" w:themeTint="BF"/>
          <w:sz w:val="24"/>
          <w:lang w:val="en-US"/>
        </w:rPr>
        <w:t xml:space="preserve"> </w:t>
      </w:r>
      <w:r w:rsidR="00B80996">
        <w:rPr>
          <w:rFonts w:cstheme="minorHAnsi"/>
          <w:color w:val="404040" w:themeColor="text1" w:themeTint="BF"/>
          <w:sz w:val="24"/>
          <w:lang w:val="en-US"/>
        </w:rPr>
        <w:t>The</w:t>
      </w:r>
      <w:r w:rsidR="00231236" w:rsidRPr="006B523F">
        <w:rPr>
          <w:rFonts w:cstheme="minorHAnsi"/>
          <w:color w:val="404040" w:themeColor="text1" w:themeTint="BF"/>
          <w:sz w:val="24"/>
          <w:lang w:val="en-US"/>
        </w:rPr>
        <w:t xml:space="preserve"> </w:t>
      </w:r>
      <w:r w:rsidR="006F1409">
        <w:rPr>
          <w:rFonts w:cstheme="minorHAnsi"/>
          <w:color w:val="404040" w:themeColor="text1" w:themeTint="BF"/>
          <w:sz w:val="24"/>
          <w:lang w:val="en-US"/>
        </w:rPr>
        <w:t xml:space="preserve">EU27 </w:t>
      </w:r>
      <w:r w:rsidR="00231236" w:rsidRPr="006B523F">
        <w:rPr>
          <w:rFonts w:cstheme="minorHAnsi"/>
          <w:color w:val="404040" w:themeColor="text1" w:themeTint="BF"/>
          <w:sz w:val="24"/>
          <w:lang w:val="en-US"/>
        </w:rPr>
        <w:t xml:space="preserve">stock </w:t>
      </w:r>
      <w:r w:rsidR="00B80996">
        <w:rPr>
          <w:rFonts w:cstheme="minorHAnsi"/>
          <w:color w:val="404040" w:themeColor="text1" w:themeTint="BF"/>
          <w:sz w:val="24"/>
          <w:lang w:val="en-US"/>
        </w:rPr>
        <w:t>of HPs at the end of 2022 was</w:t>
      </w:r>
      <w:r w:rsidR="00231236" w:rsidRPr="006B523F">
        <w:rPr>
          <w:rFonts w:cstheme="minorHAnsi"/>
          <w:color w:val="404040" w:themeColor="text1" w:themeTint="BF"/>
          <w:sz w:val="24"/>
          <w:lang w:val="en-US"/>
        </w:rPr>
        <w:t xml:space="preserve"> 18.65</w:t>
      </w:r>
      <w:r w:rsidR="00C554F3" w:rsidRPr="006B523F">
        <w:rPr>
          <w:rFonts w:cstheme="minorHAnsi"/>
          <w:color w:val="404040" w:themeColor="text1" w:themeTint="BF"/>
          <w:sz w:val="24"/>
          <w:lang w:val="en-US"/>
        </w:rPr>
        <w:t>M</w:t>
      </w:r>
      <w:r w:rsidR="00B80996">
        <w:rPr>
          <w:rFonts w:cstheme="minorHAnsi"/>
          <w:color w:val="404040" w:themeColor="text1" w:themeTint="BF"/>
          <w:sz w:val="24"/>
          <w:lang w:val="en-US"/>
        </w:rPr>
        <w:t xml:space="preserve">, so </w:t>
      </w:r>
      <w:r w:rsidR="00075340">
        <w:rPr>
          <w:rFonts w:cstheme="minorHAnsi"/>
          <w:color w:val="404040" w:themeColor="text1" w:themeTint="BF"/>
          <w:sz w:val="24"/>
          <w:lang w:val="en-US"/>
        </w:rPr>
        <w:t>the target is to have a</w:t>
      </w:r>
      <w:r w:rsidR="0099408B" w:rsidRPr="0099408B">
        <w:rPr>
          <w:rFonts w:cstheme="minorHAnsi"/>
          <w:color w:val="404040" w:themeColor="text1" w:themeTint="BF"/>
          <w:sz w:val="24"/>
          <w:lang w:val="en-US"/>
        </w:rPr>
        <w:t xml:space="preserve"> minimum of</w:t>
      </w:r>
      <w:r w:rsidR="00075340">
        <w:rPr>
          <w:rFonts w:cstheme="minorHAnsi"/>
          <w:color w:val="404040" w:themeColor="text1" w:themeTint="BF"/>
          <w:sz w:val="24"/>
          <w:lang w:val="en-US"/>
        </w:rPr>
        <w:t xml:space="preserve"> around</w:t>
      </w:r>
      <w:r w:rsidR="0099408B" w:rsidRPr="0099408B">
        <w:rPr>
          <w:rFonts w:cstheme="minorHAnsi"/>
          <w:color w:val="404040" w:themeColor="text1" w:themeTint="BF"/>
          <w:sz w:val="24"/>
          <w:lang w:val="en-US"/>
        </w:rPr>
        <w:t xml:space="preserve"> </w:t>
      </w:r>
      <w:r w:rsidR="0099408B" w:rsidRPr="0099408B">
        <w:rPr>
          <w:rFonts w:cstheme="minorHAnsi"/>
          <w:b/>
          <w:color w:val="404040" w:themeColor="text1" w:themeTint="BF"/>
          <w:sz w:val="24"/>
          <w:lang w:val="en-US"/>
        </w:rPr>
        <w:t xml:space="preserve">50M </w:t>
      </w:r>
      <w:r w:rsidR="0099408B">
        <w:rPr>
          <w:rFonts w:cstheme="minorHAnsi"/>
          <w:b/>
          <w:color w:val="404040" w:themeColor="text1" w:themeTint="BF"/>
          <w:sz w:val="24"/>
          <w:lang w:val="en-US"/>
        </w:rPr>
        <w:t>u</w:t>
      </w:r>
      <w:r w:rsidR="00231236" w:rsidRPr="0099408B">
        <w:rPr>
          <w:rFonts w:cstheme="minorHAnsi"/>
          <w:b/>
          <w:bCs/>
          <w:color w:val="404040" w:themeColor="text1" w:themeTint="BF"/>
          <w:sz w:val="24"/>
          <w:lang w:val="en-US"/>
        </w:rPr>
        <w:t>nits</w:t>
      </w:r>
      <w:r w:rsidR="00231236" w:rsidRPr="0099408B">
        <w:rPr>
          <w:rFonts w:cstheme="minorHAnsi"/>
          <w:bCs/>
          <w:color w:val="404040" w:themeColor="text1" w:themeTint="BF"/>
          <w:sz w:val="24"/>
          <w:lang w:val="en-US"/>
        </w:rPr>
        <w:t xml:space="preserve"> </w:t>
      </w:r>
      <w:r w:rsidR="00B80996" w:rsidRPr="0099408B">
        <w:rPr>
          <w:rFonts w:cstheme="minorHAnsi"/>
          <w:bCs/>
          <w:color w:val="404040" w:themeColor="text1" w:themeTint="BF"/>
          <w:sz w:val="24"/>
          <w:lang w:val="en-US"/>
        </w:rPr>
        <w:t>in</w:t>
      </w:r>
      <w:r w:rsidR="00231236" w:rsidRPr="0099408B">
        <w:rPr>
          <w:rFonts w:cstheme="minorHAnsi"/>
          <w:bCs/>
          <w:color w:val="404040" w:themeColor="text1" w:themeTint="BF"/>
          <w:sz w:val="24"/>
          <w:lang w:val="en-US"/>
        </w:rPr>
        <w:t xml:space="preserve"> operation by </w:t>
      </w:r>
      <w:r w:rsidR="00231236" w:rsidRPr="0099408B">
        <w:rPr>
          <w:rFonts w:cstheme="minorHAnsi"/>
          <w:color w:val="404040" w:themeColor="text1" w:themeTint="BF"/>
          <w:sz w:val="24"/>
          <w:lang w:val="en-US"/>
        </w:rPr>
        <w:t xml:space="preserve">the end of </w:t>
      </w:r>
      <w:r w:rsidR="00231236" w:rsidRPr="0099408B">
        <w:rPr>
          <w:rFonts w:cstheme="minorHAnsi"/>
          <w:b/>
          <w:bCs/>
          <w:color w:val="404040" w:themeColor="text1" w:themeTint="BF"/>
          <w:sz w:val="24"/>
          <w:lang w:val="en-US"/>
        </w:rPr>
        <w:t>2030</w:t>
      </w:r>
      <w:r w:rsidR="007E24A0" w:rsidRPr="0099408B">
        <w:rPr>
          <w:rFonts w:cstheme="minorHAnsi"/>
          <w:bCs/>
          <w:color w:val="404040" w:themeColor="text1" w:themeTint="BF"/>
          <w:sz w:val="24"/>
          <w:lang w:val="en-US"/>
        </w:rPr>
        <w:t>.</w:t>
      </w:r>
      <w:r w:rsidR="007E24A0">
        <w:rPr>
          <w:rFonts w:cstheme="minorHAnsi"/>
          <w:b/>
          <w:bCs/>
          <w:color w:val="404040" w:themeColor="text1" w:themeTint="BF"/>
          <w:sz w:val="24"/>
          <w:lang w:val="en-US"/>
        </w:rPr>
        <w:t xml:space="preserve"> </w:t>
      </w:r>
      <w:r w:rsidR="00580112">
        <w:rPr>
          <w:rFonts w:cstheme="minorHAnsi"/>
          <w:bCs/>
          <w:color w:val="404040" w:themeColor="text1" w:themeTint="BF"/>
          <w:sz w:val="24"/>
          <w:lang w:val="en-US"/>
        </w:rPr>
        <w:t>I</w:t>
      </w:r>
      <w:r w:rsidR="005230F7">
        <w:rPr>
          <w:rFonts w:cstheme="minorHAnsi"/>
          <w:bCs/>
          <w:color w:val="404040" w:themeColor="text1" w:themeTint="BF"/>
          <w:sz w:val="24"/>
          <w:lang w:val="en-US"/>
        </w:rPr>
        <w:t xml:space="preserve">ndustry actors rise this </w:t>
      </w:r>
      <w:r w:rsidR="00580112">
        <w:rPr>
          <w:rFonts w:cstheme="minorHAnsi"/>
          <w:bCs/>
          <w:color w:val="404040" w:themeColor="text1" w:themeTint="BF"/>
          <w:sz w:val="24"/>
          <w:lang w:val="en-US"/>
        </w:rPr>
        <w:t>figure</w:t>
      </w:r>
      <w:r w:rsidR="005230F7">
        <w:rPr>
          <w:rFonts w:cstheme="minorHAnsi"/>
          <w:bCs/>
          <w:color w:val="404040" w:themeColor="text1" w:themeTint="BF"/>
          <w:sz w:val="24"/>
          <w:lang w:val="en-US"/>
        </w:rPr>
        <w:t xml:space="preserve"> to </w:t>
      </w:r>
      <w:r w:rsidR="005230F7" w:rsidRPr="002F0922">
        <w:rPr>
          <w:rFonts w:cstheme="minorHAnsi"/>
          <w:b/>
          <w:bCs/>
          <w:color w:val="404040" w:themeColor="text1" w:themeTint="BF"/>
          <w:sz w:val="24"/>
          <w:lang w:val="en-US"/>
        </w:rPr>
        <w:t>60M units</w:t>
      </w:r>
      <w:r w:rsidR="005230F7">
        <w:rPr>
          <w:rFonts w:cstheme="minorHAnsi"/>
          <w:bCs/>
          <w:color w:val="404040" w:themeColor="text1" w:themeTint="BF"/>
          <w:sz w:val="24"/>
          <w:lang w:val="en-US"/>
        </w:rPr>
        <w:t>.</w:t>
      </w:r>
    </w:p>
    <w:p w14:paraId="07852D6E" w14:textId="2DF9911C" w:rsidR="00231236" w:rsidRDefault="006B523F" w:rsidP="006B523F">
      <w:pPr>
        <w:pStyle w:val="Prrafodelista"/>
        <w:numPr>
          <w:ilvl w:val="0"/>
          <w:numId w:val="2"/>
        </w:numPr>
        <w:spacing w:after="0" w:line="240" w:lineRule="auto"/>
        <w:jc w:val="both"/>
        <w:rPr>
          <w:rFonts w:cstheme="minorHAnsi"/>
          <w:color w:val="404040" w:themeColor="text1" w:themeTint="BF"/>
          <w:sz w:val="24"/>
          <w:lang w:val="en-US"/>
        </w:rPr>
      </w:pPr>
      <w:r w:rsidRPr="006B523F">
        <w:rPr>
          <w:rFonts w:cstheme="minorHAnsi"/>
          <w:b/>
          <w:color w:val="FF9933"/>
          <w:sz w:val="24"/>
          <w:lang w:val="en-US"/>
        </w:rPr>
        <w:t>2040 TARGET</w:t>
      </w:r>
      <w:r w:rsidR="00B80996">
        <w:rPr>
          <w:rFonts w:cstheme="minorHAnsi"/>
          <w:b/>
          <w:color w:val="FF9933"/>
          <w:sz w:val="24"/>
          <w:lang w:val="en-US"/>
        </w:rPr>
        <w:t xml:space="preserve"> </w:t>
      </w:r>
      <w:r w:rsidR="00B80996" w:rsidRPr="00B80996">
        <w:rPr>
          <w:rFonts w:cstheme="minorHAnsi"/>
          <w:color w:val="FF9933"/>
          <w:sz w:val="24"/>
          <w:lang w:val="en-US"/>
        </w:rPr>
        <w:t>(Directive EU 2024/1275)</w:t>
      </w:r>
      <w:r w:rsidRPr="006B523F">
        <w:rPr>
          <w:rFonts w:cstheme="minorHAnsi"/>
          <w:b/>
          <w:color w:val="FF9933"/>
          <w:sz w:val="24"/>
          <w:lang w:val="en-US"/>
        </w:rPr>
        <w:t>:</w:t>
      </w:r>
      <w:r w:rsidRPr="006B523F">
        <w:rPr>
          <w:rFonts w:cstheme="minorHAnsi"/>
          <w:color w:val="FF9933"/>
          <w:sz w:val="24"/>
          <w:lang w:val="en-US"/>
        </w:rPr>
        <w:t xml:space="preserve"> </w:t>
      </w:r>
      <w:r w:rsidRPr="0099408B">
        <w:rPr>
          <w:rFonts w:cstheme="minorHAnsi"/>
          <w:b/>
          <w:color w:val="404040" w:themeColor="text1" w:themeTint="BF"/>
          <w:sz w:val="24"/>
          <w:lang w:val="en-US"/>
        </w:rPr>
        <w:t>P</w:t>
      </w:r>
      <w:r w:rsidR="00231236" w:rsidRPr="0099408B">
        <w:rPr>
          <w:rFonts w:cstheme="minorHAnsi"/>
          <w:b/>
          <w:bCs/>
          <w:color w:val="404040" w:themeColor="text1" w:themeTint="BF"/>
          <w:sz w:val="24"/>
          <w:lang w:val="en-US"/>
        </w:rPr>
        <w:t>hase out fossil fuel boilers in buildings by 2040</w:t>
      </w:r>
      <w:r w:rsidRPr="00B80996">
        <w:rPr>
          <w:rFonts w:cstheme="minorHAnsi"/>
          <w:color w:val="404040" w:themeColor="text1" w:themeTint="BF"/>
          <w:sz w:val="24"/>
          <w:lang w:val="en-US"/>
        </w:rPr>
        <w:t>.</w:t>
      </w:r>
      <w:r>
        <w:rPr>
          <w:rFonts w:cstheme="minorHAnsi"/>
          <w:color w:val="404040" w:themeColor="text1" w:themeTint="BF"/>
          <w:sz w:val="24"/>
          <w:lang w:val="en-US"/>
        </w:rPr>
        <w:t xml:space="preserve"> </w:t>
      </w:r>
      <w:r w:rsidR="00B80996">
        <w:rPr>
          <w:rFonts w:cstheme="minorHAnsi"/>
          <w:color w:val="404040" w:themeColor="text1" w:themeTint="BF"/>
          <w:sz w:val="24"/>
          <w:lang w:val="en-US"/>
        </w:rPr>
        <w:t>T</w:t>
      </w:r>
      <w:r w:rsidR="00231236" w:rsidRPr="006B523F">
        <w:rPr>
          <w:rFonts w:cstheme="minorHAnsi"/>
          <w:color w:val="404040" w:themeColor="text1" w:themeTint="BF"/>
          <w:sz w:val="24"/>
          <w:lang w:val="en-US"/>
        </w:rPr>
        <w:t xml:space="preserve">here are around </w:t>
      </w:r>
      <w:r w:rsidR="00580112">
        <w:rPr>
          <w:rFonts w:cstheme="minorHAnsi"/>
          <w:color w:val="404040" w:themeColor="text1" w:themeTint="BF"/>
          <w:sz w:val="24"/>
          <w:lang w:val="en-US"/>
        </w:rPr>
        <w:t>84M</w:t>
      </w:r>
      <w:r w:rsidR="00231236" w:rsidRPr="006B523F">
        <w:rPr>
          <w:rFonts w:cstheme="minorHAnsi"/>
          <w:color w:val="404040" w:themeColor="text1" w:themeTint="BF"/>
          <w:sz w:val="24"/>
          <w:lang w:val="en-US"/>
        </w:rPr>
        <w:t xml:space="preserve"> boilers operating in the EU27 (79</w:t>
      </w:r>
      <w:r w:rsidR="00580112">
        <w:rPr>
          <w:rFonts w:cstheme="minorHAnsi"/>
          <w:color w:val="404040" w:themeColor="text1" w:themeTint="BF"/>
          <w:sz w:val="24"/>
          <w:lang w:val="en-US"/>
        </w:rPr>
        <w:t>.5</w:t>
      </w:r>
      <w:r w:rsidR="00C554F3" w:rsidRPr="006B523F">
        <w:rPr>
          <w:rFonts w:cstheme="minorHAnsi"/>
          <w:color w:val="404040" w:themeColor="text1" w:themeTint="BF"/>
          <w:sz w:val="24"/>
          <w:lang w:val="en-US"/>
        </w:rPr>
        <w:t>M</w:t>
      </w:r>
      <w:r w:rsidR="00231236" w:rsidRPr="006B523F">
        <w:rPr>
          <w:rFonts w:cstheme="minorHAnsi"/>
          <w:color w:val="404040" w:themeColor="text1" w:themeTint="BF"/>
          <w:sz w:val="24"/>
          <w:lang w:val="en-US"/>
        </w:rPr>
        <w:t xml:space="preserve"> gas </w:t>
      </w:r>
      <w:r w:rsidR="00B80996">
        <w:rPr>
          <w:rFonts w:cstheme="minorHAnsi"/>
          <w:color w:val="404040" w:themeColor="text1" w:themeTint="BF"/>
          <w:sz w:val="24"/>
          <w:lang w:val="en-US"/>
        </w:rPr>
        <w:t>+</w:t>
      </w:r>
      <w:r w:rsidR="00231236" w:rsidRPr="006B523F">
        <w:rPr>
          <w:rFonts w:cstheme="minorHAnsi"/>
          <w:color w:val="404040" w:themeColor="text1" w:themeTint="BF"/>
          <w:sz w:val="24"/>
          <w:lang w:val="en-US"/>
        </w:rPr>
        <w:t xml:space="preserve"> </w:t>
      </w:r>
      <w:r w:rsidR="00580112">
        <w:rPr>
          <w:rFonts w:cstheme="minorHAnsi"/>
          <w:color w:val="404040" w:themeColor="text1" w:themeTint="BF"/>
          <w:sz w:val="24"/>
          <w:lang w:val="en-US"/>
        </w:rPr>
        <w:t>4.5</w:t>
      </w:r>
      <w:r w:rsidR="00C554F3" w:rsidRPr="006B523F">
        <w:rPr>
          <w:rFonts w:cstheme="minorHAnsi"/>
          <w:color w:val="404040" w:themeColor="text1" w:themeTint="BF"/>
          <w:sz w:val="24"/>
          <w:lang w:val="en-US"/>
        </w:rPr>
        <w:t>M</w:t>
      </w:r>
      <w:r w:rsidR="00231236" w:rsidRPr="006B523F">
        <w:rPr>
          <w:rFonts w:cstheme="minorHAnsi"/>
          <w:color w:val="404040" w:themeColor="text1" w:themeTint="BF"/>
          <w:sz w:val="24"/>
          <w:lang w:val="en-US"/>
        </w:rPr>
        <w:t xml:space="preserve"> oil). Based on the heat pump stock at the end of 2024 (21.41 million), </w:t>
      </w:r>
      <w:r w:rsidR="00B80996">
        <w:rPr>
          <w:rFonts w:cstheme="minorHAnsi"/>
          <w:color w:val="404040" w:themeColor="text1" w:themeTint="BF"/>
          <w:sz w:val="24"/>
          <w:lang w:val="en-US"/>
        </w:rPr>
        <w:t>th</w:t>
      </w:r>
      <w:r w:rsidR="006F1409">
        <w:rPr>
          <w:rFonts w:cstheme="minorHAnsi"/>
          <w:color w:val="404040" w:themeColor="text1" w:themeTint="BF"/>
          <w:sz w:val="24"/>
          <w:lang w:val="en-US"/>
        </w:rPr>
        <w:t>is</w:t>
      </w:r>
      <w:r w:rsidR="00B80996">
        <w:rPr>
          <w:rFonts w:cstheme="minorHAnsi"/>
          <w:color w:val="404040" w:themeColor="text1" w:themeTint="BF"/>
          <w:sz w:val="24"/>
          <w:lang w:val="en-US"/>
        </w:rPr>
        <w:t xml:space="preserve"> target</w:t>
      </w:r>
      <w:r w:rsidR="00231236" w:rsidRPr="006B523F">
        <w:rPr>
          <w:rFonts w:cstheme="minorHAnsi"/>
          <w:color w:val="404040" w:themeColor="text1" w:themeTint="BF"/>
          <w:sz w:val="24"/>
          <w:lang w:val="en-US"/>
        </w:rPr>
        <w:t xml:space="preserve"> implies having </w:t>
      </w:r>
      <w:r>
        <w:rPr>
          <w:rFonts w:cstheme="minorHAnsi"/>
          <w:color w:val="404040" w:themeColor="text1" w:themeTint="BF"/>
          <w:sz w:val="24"/>
          <w:lang w:val="en-US"/>
        </w:rPr>
        <w:t xml:space="preserve">at least </w:t>
      </w:r>
      <w:r w:rsidR="00231236" w:rsidRPr="006B523F">
        <w:rPr>
          <w:rFonts w:cstheme="minorHAnsi"/>
          <w:b/>
          <w:bCs/>
          <w:color w:val="404040" w:themeColor="text1" w:themeTint="BF"/>
          <w:sz w:val="24"/>
          <w:lang w:val="en-US"/>
        </w:rPr>
        <w:t>105</w:t>
      </w:r>
      <w:r w:rsidR="0099408B">
        <w:rPr>
          <w:rFonts w:cstheme="minorHAnsi"/>
          <w:b/>
          <w:bCs/>
          <w:color w:val="404040" w:themeColor="text1" w:themeTint="BF"/>
          <w:sz w:val="24"/>
          <w:lang w:val="en-US"/>
        </w:rPr>
        <w:t>M</w:t>
      </w:r>
      <w:r w:rsidR="00231236" w:rsidRPr="006B523F">
        <w:rPr>
          <w:rFonts w:cstheme="minorHAnsi"/>
          <w:b/>
          <w:bCs/>
          <w:color w:val="404040" w:themeColor="text1" w:themeTint="BF"/>
          <w:sz w:val="24"/>
          <w:lang w:val="en-US"/>
        </w:rPr>
        <w:t xml:space="preserve"> heat pumps in operation by 2040</w:t>
      </w:r>
      <w:r>
        <w:rPr>
          <w:rFonts w:cstheme="minorHAnsi"/>
          <w:color w:val="404040" w:themeColor="text1" w:themeTint="BF"/>
          <w:sz w:val="24"/>
          <w:lang w:val="en-US"/>
        </w:rPr>
        <w:t xml:space="preserve"> </w:t>
      </w:r>
    </w:p>
    <w:p w14:paraId="70121437" w14:textId="77777777" w:rsidR="00580112" w:rsidRDefault="00580112" w:rsidP="005D5A4D">
      <w:pPr>
        <w:spacing w:after="0" w:line="240" w:lineRule="auto"/>
        <w:jc w:val="both"/>
        <w:rPr>
          <w:rFonts w:cstheme="minorHAnsi"/>
          <w:color w:val="404040" w:themeColor="text1" w:themeTint="BF"/>
          <w:sz w:val="24"/>
          <w:lang w:val="en-US"/>
        </w:rPr>
      </w:pPr>
    </w:p>
    <w:p w14:paraId="4ABC1EDE" w14:textId="0B4A3E12" w:rsidR="005230F7" w:rsidRDefault="005230F7" w:rsidP="005D5A4D">
      <w:pPr>
        <w:spacing w:after="0" w:line="240" w:lineRule="auto"/>
        <w:jc w:val="both"/>
        <w:rPr>
          <w:rFonts w:cstheme="minorHAnsi"/>
          <w:color w:val="404040" w:themeColor="text1" w:themeTint="BF"/>
          <w:sz w:val="24"/>
          <w:lang w:val="en-US"/>
        </w:rPr>
      </w:pPr>
      <w:r w:rsidRPr="005230F7">
        <w:rPr>
          <w:rFonts w:cstheme="minorHAnsi"/>
          <w:color w:val="404040" w:themeColor="text1" w:themeTint="BF"/>
          <w:sz w:val="24"/>
          <w:lang w:val="en-US"/>
        </w:rPr>
        <w:t xml:space="preserve">Whether these </w:t>
      </w:r>
      <w:r w:rsidR="002F0922">
        <w:rPr>
          <w:rFonts w:cstheme="minorHAnsi"/>
          <w:color w:val="404040" w:themeColor="text1" w:themeTint="BF"/>
          <w:sz w:val="24"/>
          <w:lang w:val="en-US"/>
        </w:rPr>
        <w:t>objectives</w:t>
      </w:r>
      <w:r w:rsidRPr="005230F7">
        <w:rPr>
          <w:rFonts w:cstheme="minorHAnsi"/>
          <w:color w:val="404040" w:themeColor="text1" w:themeTint="BF"/>
          <w:sz w:val="24"/>
          <w:lang w:val="en-US"/>
        </w:rPr>
        <w:t xml:space="preserve"> are met will depend on future sales of HPs, which are determined by factors </w:t>
      </w:r>
      <w:r w:rsidR="002F0922">
        <w:rPr>
          <w:rFonts w:cstheme="minorHAnsi"/>
          <w:color w:val="404040" w:themeColor="text1" w:themeTint="BF"/>
          <w:sz w:val="24"/>
          <w:lang w:val="en-US"/>
        </w:rPr>
        <w:t>like</w:t>
      </w:r>
      <w:r w:rsidRPr="005230F7">
        <w:rPr>
          <w:rFonts w:cstheme="minorHAnsi"/>
          <w:color w:val="404040" w:themeColor="text1" w:themeTint="BF"/>
          <w:sz w:val="24"/>
          <w:lang w:val="en-US"/>
        </w:rPr>
        <w:t xml:space="preserve"> the electricity-to-gas price ratio, government incentives, inflation, disposable income, etc. While long-term predictions of these variables are inherently uncertain, we can still explore what the future might hold by constructing two</w:t>
      </w:r>
      <w:r w:rsidR="00AC4198">
        <w:rPr>
          <w:rFonts w:cstheme="minorHAnsi"/>
          <w:color w:val="404040" w:themeColor="text1" w:themeTint="BF"/>
          <w:sz w:val="24"/>
          <w:lang w:val="en-US"/>
        </w:rPr>
        <w:t xml:space="preserve"> </w:t>
      </w:r>
      <w:r w:rsidR="00282A30">
        <w:rPr>
          <w:rFonts w:cstheme="minorHAnsi"/>
          <w:color w:val="404040" w:themeColor="text1" w:themeTint="BF"/>
          <w:sz w:val="24"/>
          <w:lang w:val="en-US"/>
        </w:rPr>
        <w:t xml:space="preserve">theoretical </w:t>
      </w:r>
      <w:r w:rsidRPr="005230F7">
        <w:rPr>
          <w:rFonts w:cstheme="minorHAnsi"/>
          <w:color w:val="404040" w:themeColor="text1" w:themeTint="BF"/>
          <w:sz w:val="24"/>
          <w:lang w:val="en-US"/>
        </w:rPr>
        <w:t>scenarios (Figure 1)</w:t>
      </w:r>
      <w:r w:rsidR="00282A30">
        <w:rPr>
          <w:rFonts w:cstheme="minorHAnsi"/>
          <w:color w:val="404040" w:themeColor="text1" w:themeTint="BF"/>
          <w:sz w:val="24"/>
          <w:lang w:val="en-US"/>
        </w:rPr>
        <w:t>.</w:t>
      </w:r>
    </w:p>
    <w:p w14:paraId="485E9374" w14:textId="77777777" w:rsidR="00580112" w:rsidRDefault="00580112" w:rsidP="005D5A4D">
      <w:pPr>
        <w:spacing w:after="0" w:line="240" w:lineRule="auto"/>
        <w:jc w:val="both"/>
        <w:rPr>
          <w:rFonts w:cstheme="minorHAnsi"/>
          <w:color w:val="404040" w:themeColor="text1" w:themeTint="BF"/>
          <w:sz w:val="24"/>
          <w:lang w:val="en-US"/>
        </w:rPr>
      </w:pPr>
    </w:p>
    <w:p w14:paraId="5B263E96" w14:textId="16B567DF" w:rsidR="00B26301" w:rsidRPr="005D5A4D" w:rsidRDefault="00B26301" w:rsidP="005D5A4D">
      <w:pPr>
        <w:spacing w:after="0" w:line="240" w:lineRule="auto"/>
        <w:jc w:val="both"/>
        <w:rPr>
          <w:rFonts w:cstheme="minorHAnsi"/>
          <w:color w:val="404040" w:themeColor="text1" w:themeTint="BF"/>
          <w:sz w:val="16"/>
          <w:szCs w:val="16"/>
          <w:lang w:val="en-US"/>
        </w:rPr>
        <w:sectPr w:rsidR="00B26301" w:rsidRPr="005D5A4D" w:rsidSect="000C6654">
          <w:headerReference w:type="default" r:id="rId8"/>
          <w:footerReference w:type="default" r:id="rId9"/>
          <w:type w:val="continuous"/>
          <w:pgSz w:w="11906" w:h="16838"/>
          <w:pgMar w:top="160" w:right="1080" w:bottom="1440" w:left="709" w:header="135" w:footer="0" w:gutter="0"/>
          <w:cols w:space="708"/>
          <w:docGrid w:linePitch="360"/>
        </w:sectPr>
      </w:pPr>
    </w:p>
    <w:p w14:paraId="67E6DADE" w14:textId="3BE4245A" w:rsidR="007E24A0" w:rsidRDefault="007E24A0" w:rsidP="00B26301">
      <w:pPr>
        <w:spacing w:after="0" w:line="240" w:lineRule="auto"/>
        <w:rPr>
          <w:rFonts w:cstheme="minorHAnsi"/>
          <w:color w:val="404040" w:themeColor="text1" w:themeTint="BF"/>
          <w:sz w:val="24"/>
          <w:lang w:val="en-US"/>
        </w:rPr>
      </w:pPr>
      <w:r w:rsidRPr="006F1409">
        <w:rPr>
          <w:rFonts w:cstheme="minorHAnsi"/>
          <w:b/>
          <w:color w:val="0070C0"/>
          <w:sz w:val="24"/>
          <w:lang w:val="en-US"/>
        </w:rPr>
        <w:t>TARGETED SCENARIO</w:t>
      </w:r>
      <w:r w:rsidR="00B26301">
        <w:rPr>
          <w:rFonts w:cstheme="minorHAnsi"/>
          <w:b/>
          <w:color w:val="0070C0"/>
          <w:sz w:val="24"/>
          <w:lang w:val="en-US"/>
        </w:rPr>
        <w:t xml:space="preserve">: </w:t>
      </w:r>
      <w:r w:rsidR="002F0922">
        <w:rPr>
          <w:rFonts w:cstheme="minorHAnsi"/>
          <w:color w:val="404040" w:themeColor="text1" w:themeTint="BF"/>
          <w:sz w:val="24"/>
          <w:lang w:val="en-US"/>
        </w:rPr>
        <w:t>T</w:t>
      </w:r>
      <w:r w:rsidR="006F70DB" w:rsidRPr="006F70DB">
        <w:rPr>
          <w:rFonts w:cstheme="minorHAnsi"/>
          <w:color w:val="404040" w:themeColor="text1" w:themeTint="BF"/>
          <w:sz w:val="24"/>
          <w:lang w:val="en-US"/>
        </w:rPr>
        <w:t>argets are fully achieved</w:t>
      </w:r>
      <w:r w:rsidR="0099408B">
        <w:rPr>
          <w:rFonts w:cstheme="minorHAnsi"/>
          <w:color w:val="404040" w:themeColor="text1" w:themeTint="BF"/>
          <w:sz w:val="24"/>
          <w:lang w:val="en-US"/>
        </w:rPr>
        <w:t>.</w:t>
      </w:r>
      <w:r w:rsidR="006F70DB" w:rsidRPr="006F70DB">
        <w:rPr>
          <w:rFonts w:cstheme="minorHAnsi"/>
          <w:color w:val="404040" w:themeColor="text1" w:themeTint="BF"/>
          <w:sz w:val="24"/>
          <w:lang w:val="en-US"/>
        </w:rPr>
        <w:t xml:space="preserve"> </w:t>
      </w:r>
      <w:r w:rsidR="0099408B">
        <w:rPr>
          <w:rFonts w:cstheme="minorHAnsi"/>
          <w:color w:val="404040" w:themeColor="text1" w:themeTint="BF"/>
          <w:sz w:val="24"/>
          <w:lang w:val="en-US"/>
        </w:rPr>
        <w:t>T</w:t>
      </w:r>
      <w:r w:rsidR="006F70DB" w:rsidRPr="006F70DB">
        <w:rPr>
          <w:rFonts w:cstheme="minorHAnsi"/>
          <w:color w:val="404040" w:themeColor="text1" w:themeTint="BF"/>
          <w:sz w:val="24"/>
          <w:lang w:val="en-US"/>
        </w:rPr>
        <w:t xml:space="preserve">he stock evolution over the years </w:t>
      </w:r>
      <w:r w:rsidR="0099408B">
        <w:rPr>
          <w:rFonts w:cstheme="minorHAnsi"/>
          <w:color w:val="404040" w:themeColor="text1" w:themeTint="BF"/>
          <w:sz w:val="24"/>
          <w:lang w:val="en-US"/>
        </w:rPr>
        <w:t xml:space="preserve">is </w:t>
      </w:r>
      <w:r w:rsidR="006F70DB" w:rsidRPr="006F70DB">
        <w:rPr>
          <w:rFonts w:cstheme="minorHAnsi"/>
          <w:color w:val="404040" w:themeColor="text1" w:themeTint="BF"/>
          <w:sz w:val="24"/>
          <w:lang w:val="en-US"/>
        </w:rPr>
        <w:t>modeled using a logistic innovation adoption curve</w:t>
      </w:r>
      <w:r w:rsidR="00580112">
        <w:rPr>
          <w:rFonts w:cstheme="minorHAnsi"/>
          <w:color w:val="404040" w:themeColor="text1" w:themeTint="BF"/>
          <w:sz w:val="24"/>
          <w:lang w:val="en-US"/>
        </w:rPr>
        <w:t>.</w:t>
      </w:r>
    </w:p>
    <w:p w14:paraId="47DAB0F2" w14:textId="77777777" w:rsidR="006F1409" w:rsidRDefault="006F1409" w:rsidP="00496D9F">
      <w:pPr>
        <w:spacing w:after="0" w:line="240" w:lineRule="auto"/>
        <w:jc w:val="both"/>
        <w:rPr>
          <w:rFonts w:cstheme="minorHAnsi"/>
          <w:color w:val="404040" w:themeColor="text1" w:themeTint="BF"/>
          <w:sz w:val="24"/>
          <w:lang w:val="en-US"/>
        </w:rPr>
      </w:pPr>
    </w:p>
    <w:p w14:paraId="47E29622" w14:textId="56BF6A01" w:rsidR="006F1409" w:rsidRDefault="007E24A0" w:rsidP="00B26301">
      <w:pPr>
        <w:spacing w:after="0" w:line="240" w:lineRule="auto"/>
        <w:rPr>
          <w:rFonts w:cstheme="minorHAnsi"/>
          <w:color w:val="404040" w:themeColor="text1" w:themeTint="BF"/>
          <w:sz w:val="24"/>
          <w:lang w:val="en-US"/>
        </w:rPr>
        <w:sectPr w:rsidR="006F1409" w:rsidSect="007E24A0">
          <w:type w:val="continuous"/>
          <w:pgSz w:w="11906" w:h="16838"/>
          <w:pgMar w:top="160" w:right="1080" w:bottom="1440" w:left="709" w:header="135" w:footer="177" w:gutter="0"/>
          <w:cols w:num="2" w:space="708"/>
          <w:docGrid w:linePitch="360"/>
        </w:sectPr>
      </w:pPr>
      <w:r w:rsidRPr="006F1409">
        <w:rPr>
          <w:rFonts w:cstheme="minorHAnsi"/>
          <w:b/>
          <w:color w:val="0070C0"/>
          <w:sz w:val="24"/>
          <w:lang w:val="en-US"/>
        </w:rPr>
        <w:t>LINEAR TREN</w:t>
      </w:r>
      <w:r w:rsidR="006F1409" w:rsidRPr="006F1409">
        <w:rPr>
          <w:rFonts w:cstheme="minorHAnsi"/>
          <w:b/>
          <w:color w:val="0070C0"/>
          <w:sz w:val="24"/>
          <w:lang w:val="en-US"/>
        </w:rPr>
        <w:t>D</w:t>
      </w:r>
      <w:r w:rsidR="00B26301">
        <w:rPr>
          <w:rFonts w:cstheme="minorHAnsi"/>
          <w:b/>
          <w:color w:val="0070C0"/>
          <w:sz w:val="24"/>
          <w:lang w:val="en-US"/>
        </w:rPr>
        <w:t xml:space="preserve">: </w:t>
      </w:r>
      <w:r w:rsidR="002F0922">
        <w:rPr>
          <w:rFonts w:cstheme="minorHAnsi"/>
          <w:color w:val="404040" w:themeColor="text1" w:themeTint="BF"/>
          <w:sz w:val="24"/>
          <w:lang w:val="en-US"/>
        </w:rPr>
        <w:t>T</w:t>
      </w:r>
      <w:r w:rsidR="005230F7" w:rsidRPr="005230F7">
        <w:rPr>
          <w:rFonts w:cstheme="minorHAnsi"/>
          <w:color w:val="404040" w:themeColor="text1" w:themeTint="BF"/>
          <w:sz w:val="24"/>
          <w:lang w:val="en-US"/>
        </w:rPr>
        <w:t>argets are not achieved</w:t>
      </w:r>
      <w:r w:rsidR="002F0922">
        <w:rPr>
          <w:rFonts w:cstheme="minorHAnsi"/>
          <w:color w:val="404040" w:themeColor="text1" w:themeTint="BF"/>
          <w:sz w:val="24"/>
          <w:lang w:val="en-US"/>
        </w:rPr>
        <w:t>. T</w:t>
      </w:r>
      <w:r w:rsidR="005230F7" w:rsidRPr="005230F7">
        <w:rPr>
          <w:rFonts w:cstheme="minorHAnsi"/>
          <w:color w:val="404040" w:themeColor="text1" w:themeTint="BF"/>
          <w:sz w:val="24"/>
          <w:lang w:val="en-US"/>
        </w:rPr>
        <w:t>he stock follows its historical linear tren</w:t>
      </w:r>
      <w:r w:rsidR="00AC4198">
        <w:rPr>
          <w:rFonts w:cstheme="minorHAnsi"/>
          <w:color w:val="404040" w:themeColor="text1" w:themeTint="BF"/>
          <w:sz w:val="24"/>
          <w:lang w:val="en-US"/>
        </w:rPr>
        <w:t>d (</w:t>
      </w:r>
      <w:r w:rsidR="00B26301">
        <w:rPr>
          <w:rFonts w:cstheme="minorHAnsi"/>
          <w:color w:val="404040" w:themeColor="text1" w:themeTint="BF"/>
          <w:sz w:val="24"/>
          <w:lang w:val="en-US"/>
        </w:rPr>
        <w:t xml:space="preserve">average </w:t>
      </w:r>
      <w:r w:rsidR="00AC4198">
        <w:rPr>
          <w:rFonts w:cstheme="minorHAnsi"/>
          <w:color w:val="404040" w:themeColor="text1" w:themeTint="BF"/>
          <w:sz w:val="24"/>
          <w:lang w:val="en-US"/>
        </w:rPr>
        <w:t>sales = 1.7</w:t>
      </w:r>
      <w:r w:rsidR="00282A30">
        <w:rPr>
          <w:rFonts w:cstheme="minorHAnsi"/>
          <w:color w:val="404040" w:themeColor="text1" w:themeTint="BF"/>
          <w:sz w:val="24"/>
          <w:lang w:val="en-US"/>
        </w:rPr>
        <w:t>9</w:t>
      </w:r>
      <w:r w:rsidR="00AC4198">
        <w:rPr>
          <w:rFonts w:cstheme="minorHAnsi"/>
          <w:color w:val="404040" w:themeColor="text1" w:themeTint="BF"/>
          <w:sz w:val="24"/>
          <w:lang w:val="en-US"/>
        </w:rPr>
        <w:t>M/year)</w:t>
      </w:r>
      <w:r w:rsidR="005230F7" w:rsidRPr="005230F7">
        <w:rPr>
          <w:rFonts w:cstheme="minorHAnsi"/>
          <w:color w:val="404040" w:themeColor="text1" w:themeTint="BF"/>
          <w:sz w:val="24"/>
          <w:lang w:val="en-US"/>
        </w:rPr>
        <w:t xml:space="preserve"> before gradually aligning with the long-term goal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gridCol w:w="3402"/>
      </w:tblGrid>
      <w:tr w:rsidR="00580112" w:rsidRPr="004627FA" w14:paraId="4D94C65D" w14:textId="77777777" w:rsidTr="00061BE8">
        <w:tc>
          <w:tcPr>
            <w:tcW w:w="6494" w:type="dxa"/>
          </w:tcPr>
          <w:p w14:paraId="52E88225" w14:textId="42C0E442" w:rsidR="006F1409" w:rsidRDefault="00580112" w:rsidP="005A15AF">
            <w:pPr>
              <w:jc w:val="center"/>
              <w:rPr>
                <w:lang w:val="en-US"/>
              </w:rPr>
            </w:pPr>
            <w:r>
              <w:rPr>
                <w:noProof/>
                <w:lang w:val="en-US"/>
              </w:rPr>
              <w:drawing>
                <wp:inline distT="0" distB="0" distL="0" distR="0" wp14:anchorId="26B534C6" wp14:editId="26729909">
                  <wp:extent cx="3987129" cy="280261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423" cy="2832345"/>
                          </a:xfrm>
                          <a:prstGeom prst="rect">
                            <a:avLst/>
                          </a:prstGeom>
                          <a:noFill/>
                        </pic:spPr>
                      </pic:pic>
                    </a:graphicData>
                  </a:graphic>
                </wp:inline>
              </w:drawing>
            </w:r>
          </w:p>
          <w:p w14:paraId="15284412" w14:textId="2F9628B6" w:rsidR="006F1409" w:rsidRDefault="006F1409" w:rsidP="005A15AF">
            <w:pPr>
              <w:jc w:val="center"/>
              <w:rPr>
                <w:lang w:val="en-US"/>
              </w:rPr>
            </w:pPr>
            <w:r w:rsidRPr="005D2CA9">
              <w:rPr>
                <w:b/>
                <w:color w:val="FF9933"/>
                <w:sz w:val="20"/>
                <w:lang w:val="en-US"/>
              </w:rPr>
              <w:t>Figure 1:</w:t>
            </w:r>
            <w:r w:rsidRPr="005D2CA9">
              <w:rPr>
                <w:color w:val="FF9933"/>
                <w:sz w:val="20"/>
                <w:lang w:val="en-US"/>
              </w:rPr>
              <w:t xml:space="preserve"> Two hypothetical projections of future heat pump stock</w:t>
            </w:r>
          </w:p>
        </w:tc>
        <w:tc>
          <w:tcPr>
            <w:tcW w:w="3402" w:type="dxa"/>
          </w:tcPr>
          <w:p w14:paraId="4705BC1B" w14:textId="05EA349A" w:rsidR="005D2CA9" w:rsidRPr="005D2CA9" w:rsidRDefault="005D2CA9" w:rsidP="006F70DB">
            <w:pPr>
              <w:rPr>
                <w:b/>
                <w:color w:val="7F7F7F" w:themeColor="text1" w:themeTint="80"/>
                <w:lang w:val="en-US"/>
              </w:rPr>
            </w:pPr>
            <w:r w:rsidRPr="005D2CA9">
              <w:rPr>
                <w:b/>
                <w:color w:val="7F7F7F" w:themeColor="text1" w:themeTint="80"/>
                <w:lang w:val="en-US"/>
              </w:rPr>
              <w:t>WHAT ABOUT THE 2040 TARGET?</w:t>
            </w:r>
          </w:p>
          <w:p w14:paraId="44C82734" w14:textId="5DBF2DE6" w:rsidR="005D2CA9" w:rsidRPr="005D2CA9" w:rsidRDefault="005D2CA9" w:rsidP="005D2CA9">
            <w:pPr>
              <w:rPr>
                <w:color w:val="7F7F7F" w:themeColor="text1" w:themeTint="80"/>
                <w:lang w:val="en-US"/>
              </w:rPr>
            </w:pPr>
            <w:r w:rsidRPr="005D2CA9">
              <w:rPr>
                <w:color w:val="7F7F7F" w:themeColor="text1" w:themeTint="80"/>
                <w:lang w:val="en-US"/>
              </w:rPr>
              <w:t xml:space="preserve">As shown in Figure 1, our calculations do not impose the 2040 target as a strict constraint. Instead, it is treated as an asymptotic benchmark reflecting </w:t>
            </w:r>
            <w:r w:rsidR="00793981">
              <w:rPr>
                <w:color w:val="7F7F7F" w:themeColor="text1" w:themeTint="80"/>
                <w:lang w:val="en-US"/>
              </w:rPr>
              <w:t>the</w:t>
            </w:r>
            <w:r w:rsidRPr="005D2CA9">
              <w:rPr>
                <w:color w:val="7F7F7F" w:themeColor="text1" w:themeTint="80"/>
                <w:lang w:val="en-US"/>
              </w:rPr>
              <w:t xml:space="preserve"> long-term policy objective.</w:t>
            </w:r>
            <w:r>
              <w:rPr>
                <w:color w:val="7F7F7F" w:themeColor="text1" w:themeTint="80"/>
                <w:lang w:val="en-US"/>
              </w:rPr>
              <w:t xml:space="preserve"> </w:t>
            </w:r>
            <w:r w:rsidRPr="005D2CA9">
              <w:rPr>
                <w:color w:val="7F7F7F" w:themeColor="text1" w:themeTint="80"/>
                <w:lang w:val="en-US"/>
              </w:rPr>
              <w:t>The</w:t>
            </w:r>
            <w:r w:rsidR="006F70DB" w:rsidRPr="005D2CA9">
              <w:rPr>
                <w:color w:val="7F7F7F" w:themeColor="text1" w:themeTint="80"/>
                <w:lang w:val="en-US"/>
              </w:rPr>
              <w:t xml:space="preserve"> full phase-out of fossil fuel boilers is expected to proceed at a gradual pace, given their </w:t>
            </w:r>
            <w:r w:rsidR="005D5A4D">
              <w:rPr>
                <w:color w:val="7F7F7F" w:themeColor="text1" w:themeTint="80"/>
                <w:lang w:val="en-US"/>
              </w:rPr>
              <w:t xml:space="preserve">current </w:t>
            </w:r>
            <w:r w:rsidR="006F70DB" w:rsidRPr="005D2CA9">
              <w:rPr>
                <w:color w:val="7F7F7F" w:themeColor="text1" w:themeTint="80"/>
                <w:lang w:val="en-US"/>
              </w:rPr>
              <w:t>sustained high sales volumes in several EU member states.</w:t>
            </w:r>
            <w:r>
              <w:rPr>
                <w:color w:val="7F7F7F" w:themeColor="text1" w:themeTint="80"/>
                <w:lang w:val="en-US"/>
              </w:rPr>
              <w:t xml:space="preserve"> </w:t>
            </w:r>
            <w:r w:rsidR="00580112">
              <w:rPr>
                <w:color w:val="7F7F7F" w:themeColor="text1" w:themeTint="80"/>
                <w:lang w:val="en-US"/>
              </w:rPr>
              <w:t>By 2040 most of the boilers should have been replaced (stock = 90.3M) and by 2050 the process should be almost completed (stock = 102.6M)</w:t>
            </w:r>
          </w:p>
        </w:tc>
      </w:tr>
    </w:tbl>
    <w:p w14:paraId="0ED948E3" w14:textId="4A9F622D" w:rsidR="007E24A0" w:rsidRDefault="00061BE8" w:rsidP="00061BE8">
      <w:pPr>
        <w:spacing w:after="0" w:line="240" w:lineRule="auto"/>
        <w:jc w:val="both"/>
        <w:rPr>
          <w:rFonts w:cstheme="minorHAnsi"/>
          <w:color w:val="404040" w:themeColor="text1" w:themeTint="BF"/>
          <w:sz w:val="24"/>
          <w:lang w:val="en-US"/>
        </w:rPr>
      </w:pPr>
      <w:r w:rsidRPr="00061BE8">
        <w:rPr>
          <w:rFonts w:cstheme="minorHAnsi"/>
          <w:color w:val="404040" w:themeColor="text1" w:themeTint="BF"/>
          <w:sz w:val="24"/>
          <w:lang w:val="en-US"/>
        </w:rPr>
        <w:lastRenderedPageBreak/>
        <w:t xml:space="preserve">Annual sales are shown in Figure 2 (targeted scenario) and Figure 3 (linear trend). </w:t>
      </w:r>
      <w:r w:rsidR="00B879BF">
        <w:rPr>
          <w:rFonts w:cstheme="minorHAnsi"/>
          <w:color w:val="404040" w:themeColor="text1" w:themeTint="BF"/>
          <w:sz w:val="24"/>
          <w:lang w:val="en-US"/>
        </w:rPr>
        <w:t>Total sales are sum of two components:</w:t>
      </w:r>
    </w:p>
    <w:p w14:paraId="72801699" w14:textId="007CC879" w:rsidR="00B879BF" w:rsidRDefault="00B879BF" w:rsidP="00B879BF">
      <w:pPr>
        <w:pStyle w:val="Prrafodelista"/>
        <w:numPr>
          <w:ilvl w:val="0"/>
          <w:numId w:val="4"/>
        </w:numPr>
        <w:spacing w:after="0" w:line="256" w:lineRule="auto"/>
        <w:jc w:val="both"/>
        <w:rPr>
          <w:b/>
          <w:bCs/>
          <w:lang w:val="en-GB"/>
        </w:rPr>
      </w:pPr>
      <w:r>
        <w:rPr>
          <w:b/>
          <w:bCs/>
          <w:lang w:val="en-GB"/>
        </w:rPr>
        <w:t>Sales of new units</w:t>
      </w:r>
      <w:r>
        <w:rPr>
          <w:bCs/>
          <w:lang w:val="en-GB"/>
        </w:rPr>
        <w:t xml:space="preserve"> that replace old boilers and possibly other heating systems (coal, direct electric, etc.)</w:t>
      </w:r>
    </w:p>
    <w:p w14:paraId="7FE16F06" w14:textId="77777777" w:rsidR="00B879BF" w:rsidRDefault="00B879BF" w:rsidP="00B879BF">
      <w:pPr>
        <w:pStyle w:val="Prrafodelista"/>
        <w:numPr>
          <w:ilvl w:val="0"/>
          <w:numId w:val="4"/>
        </w:numPr>
        <w:spacing w:after="0" w:line="256" w:lineRule="auto"/>
        <w:jc w:val="both"/>
        <w:rPr>
          <w:lang w:val="en-GB"/>
        </w:rPr>
      </w:pPr>
      <w:r>
        <w:rPr>
          <w:b/>
          <w:bCs/>
          <w:lang w:val="en-GB"/>
        </w:rPr>
        <w:t xml:space="preserve">Replacement of broken heat pumps. </w:t>
      </w:r>
      <w:r>
        <w:rPr>
          <w:lang w:val="en-GB"/>
        </w:rPr>
        <w:t xml:space="preserve">The time frame of the analysis is long enough for existing heat pumps to break down and require replacement. While this does not increase the total stock, it does contribute to overall sales. </w:t>
      </w:r>
    </w:p>
    <w:p w14:paraId="40CDDF91" w14:textId="02B969ED" w:rsidR="007E24A0" w:rsidRDefault="00B879BF" w:rsidP="00A10528">
      <w:pPr>
        <w:spacing w:after="0" w:line="256" w:lineRule="auto"/>
        <w:jc w:val="both"/>
        <w:rPr>
          <w:lang w:val="en-GB"/>
        </w:rPr>
      </w:pPr>
      <w:r w:rsidRPr="00B879BF">
        <w:rPr>
          <w:lang w:val="en-GB"/>
        </w:rPr>
        <w:t>To estimate replacements, heat pump lifetime was modelled as a normal distribution with a mean of 20 years</w:t>
      </w:r>
      <w:r>
        <w:rPr>
          <w:lang w:val="en-GB"/>
        </w:rPr>
        <w:t xml:space="preserve"> and a</w:t>
      </w:r>
      <w:r w:rsidRPr="00B879BF">
        <w:rPr>
          <w:lang w:val="en-GB"/>
        </w:rPr>
        <w:t xml:space="preserve"> standard deviation of 5 years, truncated at ±3 sigma. This probability distribution was convoluted with new sales data to estimate the number of heat pumps failing each year. The model accounts for the replacement of new heat pumps entering the market, as well as future replacement of previously replaced units.</w:t>
      </w:r>
    </w:p>
    <w:p w14:paraId="1E214ABE" w14:textId="77777777" w:rsidR="00A10528" w:rsidRDefault="00A10528" w:rsidP="00A10528">
      <w:pPr>
        <w:spacing w:after="0" w:line="256" w:lineRule="auto"/>
        <w:jc w:val="both"/>
        <w:rPr>
          <w:rFonts w:cstheme="minorHAnsi"/>
          <w:color w:val="404040" w:themeColor="text1" w:themeTint="BF"/>
          <w:sz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310CD5" w:rsidRPr="004627FA" w14:paraId="51D7A47C" w14:textId="77777777" w:rsidTr="00061BE8">
        <w:tc>
          <w:tcPr>
            <w:tcW w:w="5053" w:type="dxa"/>
          </w:tcPr>
          <w:p w14:paraId="5BB71D14" w14:textId="01F30BF8" w:rsidR="000908EE" w:rsidRDefault="00310CD5" w:rsidP="005A15AF">
            <w:pPr>
              <w:jc w:val="center"/>
              <w:rPr>
                <w:lang w:val="en-US"/>
              </w:rPr>
            </w:pPr>
            <w:r>
              <w:rPr>
                <w:noProof/>
                <w:lang w:val="en-US"/>
              </w:rPr>
              <w:drawing>
                <wp:inline distT="0" distB="0" distL="0" distR="0" wp14:anchorId="197258A7" wp14:editId="117E1029">
                  <wp:extent cx="2962275" cy="2127601"/>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8915" cy="2161100"/>
                          </a:xfrm>
                          <a:prstGeom prst="rect">
                            <a:avLst/>
                          </a:prstGeom>
                          <a:noFill/>
                        </pic:spPr>
                      </pic:pic>
                    </a:graphicData>
                  </a:graphic>
                </wp:inline>
              </w:drawing>
            </w:r>
          </w:p>
          <w:p w14:paraId="08F8A849" w14:textId="77777777" w:rsidR="00AC4198" w:rsidRDefault="00AC4198" w:rsidP="005A15AF">
            <w:pPr>
              <w:jc w:val="center"/>
              <w:rPr>
                <w:lang w:val="en-US"/>
              </w:rPr>
            </w:pPr>
          </w:p>
          <w:p w14:paraId="5BBB366D" w14:textId="42F87875" w:rsidR="00AC4198" w:rsidRDefault="00AC4198" w:rsidP="005A15AF">
            <w:pPr>
              <w:jc w:val="center"/>
              <w:rPr>
                <w:lang w:val="en-US"/>
              </w:rPr>
            </w:pPr>
            <w:r w:rsidRPr="00282A30">
              <w:rPr>
                <w:b/>
                <w:color w:val="FF9933"/>
                <w:sz w:val="20"/>
                <w:lang w:val="en-US"/>
              </w:rPr>
              <w:t>Figure 2</w:t>
            </w:r>
            <w:r w:rsidR="00282A30" w:rsidRPr="00282A30">
              <w:rPr>
                <w:b/>
                <w:color w:val="FF9933"/>
                <w:sz w:val="20"/>
                <w:lang w:val="en-US"/>
              </w:rPr>
              <w:t xml:space="preserve">: </w:t>
            </w:r>
            <w:r w:rsidR="00282A30" w:rsidRPr="00282A30">
              <w:rPr>
                <w:color w:val="FF9933"/>
                <w:sz w:val="20"/>
                <w:lang w:val="en-US"/>
              </w:rPr>
              <w:t xml:space="preserve">Possible path for annual sales that </w:t>
            </w:r>
            <w:r w:rsidR="00BD32C7">
              <w:rPr>
                <w:color w:val="FF9933"/>
                <w:sz w:val="20"/>
                <w:lang w:val="en-US"/>
              </w:rPr>
              <w:t>fully meet the stock</w:t>
            </w:r>
            <w:r w:rsidR="00282A30" w:rsidRPr="00282A30">
              <w:rPr>
                <w:color w:val="FF9933"/>
                <w:sz w:val="20"/>
                <w:lang w:val="en-US"/>
              </w:rPr>
              <w:t xml:space="preserve"> targets</w:t>
            </w:r>
          </w:p>
        </w:tc>
        <w:tc>
          <w:tcPr>
            <w:tcW w:w="5054" w:type="dxa"/>
          </w:tcPr>
          <w:p w14:paraId="58B2E4F1" w14:textId="77777777" w:rsidR="000908EE" w:rsidRPr="00AC4198" w:rsidRDefault="000908EE" w:rsidP="005A15AF">
            <w:pPr>
              <w:jc w:val="center"/>
              <w:rPr>
                <w:b/>
                <w:color w:val="FF9933"/>
                <w:sz w:val="20"/>
                <w:lang w:val="en-US"/>
              </w:rPr>
            </w:pPr>
            <w:r w:rsidRPr="00AC4198">
              <w:rPr>
                <w:b/>
                <w:noProof/>
                <w:color w:val="FF9933"/>
                <w:sz w:val="20"/>
                <w:lang w:val="en-US"/>
              </w:rPr>
              <w:drawing>
                <wp:inline distT="0" distB="0" distL="0" distR="0" wp14:anchorId="7F566AB8" wp14:editId="02ED8B27">
                  <wp:extent cx="2934276" cy="2105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9233" cy="2122929"/>
                          </a:xfrm>
                          <a:prstGeom prst="rect">
                            <a:avLst/>
                          </a:prstGeom>
                          <a:noFill/>
                        </pic:spPr>
                      </pic:pic>
                    </a:graphicData>
                  </a:graphic>
                </wp:inline>
              </w:drawing>
            </w:r>
          </w:p>
          <w:p w14:paraId="7EF49B12" w14:textId="77777777" w:rsidR="00AC4198" w:rsidRPr="00AC4198" w:rsidRDefault="00AC4198" w:rsidP="005A15AF">
            <w:pPr>
              <w:jc w:val="center"/>
              <w:rPr>
                <w:b/>
                <w:color w:val="FF9933"/>
                <w:sz w:val="20"/>
                <w:lang w:val="en-US"/>
              </w:rPr>
            </w:pPr>
          </w:p>
          <w:p w14:paraId="3823D60E" w14:textId="170416EF" w:rsidR="00AC4198" w:rsidRPr="00282A30" w:rsidRDefault="00AC4198" w:rsidP="005A15AF">
            <w:pPr>
              <w:jc w:val="center"/>
              <w:rPr>
                <w:color w:val="FF9933"/>
                <w:sz w:val="20"/>
                <w:lang w:val="en-US"/>
              </w:rPr>
            </w:pPr>
            <w:r w:rsidRPr="00AC4198">
              <w:rPr>
                <w:b/>
                <w:color w:val="FF9933"/>
                <w:sz w:val="20"/>
                <w:lang w:val="en-US"/>
              </w:rPr>
              <w:t>Figure 3</w:t>
            </w:r>
            <w:r w:rsidR="00282A30">
              <w:rPr>
                <w:b/>
                <w:color w:val="FF9933"/>
                <w:sz w:val="20"/>
                <w:lang w:val="en-US"/>
              </w:rPr>
              <w:t xml:space="preserve">: </w:t>
            </w:r>
            <w:r w:rsidR="00282A30">
              <w:rPr>
                <w:color w:val="FF9933"/>
                <w:sz w:val="20"/>
                <w:lang w:val="en-US"/>
              </w:rPr>
              <w:t xml:space="preserve">Annual sales when </w:t>
            </w:r>
            <w:r w:rsidR="00BD32C7">
              <w:rPr>
                <w:color w:val="FF9933"/>
                <w:sz w:val="20"/>
                <w:lang w:val="en-US"/>
              </w:rPr>
              <w:t>sales of new unit follow the historic average</w:t>
            </w:r>
          </w:p>
        </w:tc>
      </w:tr>
    </w:tbl>
    <w:p w14:paraId="4137A59D" w14:textId="77777777" w:rsidR="007E24A0" w:rsidRDefault="007E24A0" w:rsidP="005A15AF">
      <w:pPr>
        <w:spacing w:after="0" w:line="240" w:lineRule="auto"/>
        <w:jc w:val="center"/>
        <w:rPr>
          <w:lang w:val="en-US"/>
        </w:rPr>
      </w:pPr>
    </w:p>
    <w:p w14:paraId="7F4C71C0" w14:textId="4072A6AB" w:rsidR="00B879BF" w:rsidRDefault="00282A30" w:rsidP="00B879BF">
      <w:pPr>
        <w:spacing w:after="0" w:line="240" w:lineRule="auto"/>
        <w:jc w:val="both"/>
        <w:rPr>
          <w:rFonts w:cstheme="minorHAnsi"/>
          <w:color w:val="404040" w:themeColor="text1" w:themeTint="BF"/>
          <w:sz w:val="24"/>
          <w:lang w:val="en-US"/>
        </w:rPr>
      </w:pPr>
      <w:r>
        <w:rPr>
          <w:rFonts w:cstheme="minorHAnsi"/>
          <w:color w:val="404040" w:themeColor="text1" w:themeTint="BF"/>
          <w:sz w:val="24"/>
          <w:lang w:val="en-US"/>
        </w:rPr>
        <w:t>T</w:t>
      </w:r>
      <w:r w:rsidR="00061BE8" w:rsidRPr="00282A30">
        <w:rPr>
          <w:rFonts w:cstheme="minorHAnsi"/>
          <w:color w:val="404040" w:themeColor="text1" w:themeTint="BF"/>
          <w:sz w:val="24"/>
          <w:lang w:val="en-US"/>
        </w:rPr>
        <w:t xml:space="preserve">o meet the number of heat pumps required to achieve the 2030 target, </w:t>
      </w:r>
      <w:r w:rsidR="00061BE8" w:rsidRPr="00B879BF">
        <w:rPr>
          <w:rFonts w:cstheme="minorHAnsi"/>
          <w:color w:val="404040" w:themeColor="text1" w:themeTint="BF"/>
          <w:sz w:val="24"/>
          <w:lang w:val="en-US"/>
        </w:rPr>
        <w:t>the EU must more than double the annual deployment rate</w:t>
      </w:r>
      <w:r w:rsidR="00061BE8" w:rsidRPr="00282A30">
        <w:rPr>
          <w:rFonts w:cstheme="minorHAnsi"/>
          <w:color w:val="404040" w:themeColor="text1" w:themeTint="BF"/>
          <w:sz w:val="24"/>
          <w:lang w:val="en-US"/>
        </w:rPr>
        <w:t xml:space="preserve">: </w:t>
      </w:r>
      <w:r w:rsidR="00061BE8" w:rsidRPr="00B879BF">
        <w:rPr>
          <w:rFonts w:cstheme="minorHAnsi"/>
          <w:b/>
          <w:color w:val="0070C0"/>
          <w:sz w:val="24"/>
          <w:lang w:val="en-US"/>
        </w:rPr>
        <w:t xml:space="preserve">sales need to jump from 2.13 million units in 2024 to </w:t>
      </w:r>
      <w:r w:rsidR="00BF2CA3">
        <w:rPr>
          <w:rFonts w:cstheme="minorHAnsi"/>
          <w:b/>
          <w:color w:val="0070C0"/>
          <w:sz w:val="24"/>
          <w:lang w:val="en-US"/>
        </w:rPr>
        <w:t>3.71</w:t>
      </w:r>
      <w:r w:rsidR="00061BE8" w:rsidRPr="00B879BF">
        <w:rPr>
          <w:rFonts w:cstheme="minorHAnsi"/>
          <w:b/>
          <w:color w:val="0070C0"/>
          <w:sz w:val="24"/>
          <w:lang w:val="en-US"/>
        </w:rPr>
        <w:t xml:space="preserve"> million in 2025, then continue increasing each year until peaking at 5 million</w:t>
      </w:r>
      <w:r w:rsidR="00BF2CA3">
        <w:rPr>
          <w:rFonts w:cstheme="minorHAnsi"/>
          <w:b/>
          <w:color w:val="0070C0"/>
          <w:sz w:val="24"/>
          <w:lang w:val="en-US"/>
        </w:rPr>
        <w:t xml:space="preserve"> new</w:t>
      </w:r>
      <w:r w:rsidR="00061BE8" w:rsidRPr="00B879BF">
        <w:rPr>
          <w:rFonts w:cstheme="minorHAnsi"/>
          <w:b/>
          <w:color w:val="0070C0"/>
          <w:sz w:val="24"/>
          <w:lang w:val="en-US"/>
        </w:rPr>
        <w:t xml:space="preserve"> units in 2031</w:t>
      </w:r>
      <w:r w:rsidR="00BF2CA3">
        <w:rPr>
          <w:rFonts w:cstheme="minorHAnsi"/>
          <w:b/>
          <w:color w:val="0070C0"/>
          <w:sz w:val="24"/>
          <w:lang w:val="en-US"/>
        </w:rPr>
        <w:t xml:space="preserve"> (5.4M units including replacement)</w:t>
      </w:r>
      <w:r w:rsidR="00061BE8" w:rsidRPr="00282A30">
        <w:rPr>
          <w:rFonts w:cstheme="minorHAnsi"/>
          <w:color w:val="404040" w:themeColor="text1" w:themeTint="BF"/>
          <w:sz w:val="24"/>
          <w:lang w:val="en-US"/>
        </w:rPr>
        <w:t>. From that point, sales of new units replacing old boilers will gradually decline, while sales of heat pumps replacing broken ones will begin to ris</w:t>
      </w:r>
      <w:r w:rsidRPr="00282A30">
        <w:rPr>
          <w:rFonts w:cstheme="minorHAnsi"/>
          <w:color w:val="404040" w:themeColor="text1" w:themeTint="BF"/>
          <w:sz w:val="24"/>
          <w:lang w:val="en-US"/>
        </w:rPr>
        <w:t xml:space="preserve">e, </w:t>
      </w:r>
      <w:r w:rsidR="00061BE8" w:rsidRPr="00282A30">
        <w:rPr>
          <w:rFonts w:cstheme="minorHAnsi"/>
          <w:color w:val="404040" w:themeColor="text1" w:themeTint="BF"/>
          <w:sz w:val="24"/>
          <w:lang w:val="en-US"/>
        </w:rPr>
        <w:t xml:space="preserve">eventually becoming the </w:t>
      </w:r>
      <w:r w:rsidR="00B879BF">
        <w:rPr>
          <w:rFonts w:cstheme="minorHAnsi"/>
          <w:color w:val="404040" w:themeColor="text1" w:themeTint="BF"/>
          <w:sz w:val="24"/>
          <w:lang w:val="en-US"/>
        </w:rPr>
        <w:t>main</w:t>
      </w:r>
      <w:r w:rsidR="00061BE8" w:rsidRPr="00282A30">
        <w:rPr>
          <w:rFonts w:cstheme="minorHAnsi"/>
          <w:color w:val="404040" w:themeColor="text1" w:themeTint="BF"/>
          <w:sz w:val="24"/>
          <w:lang w:val="en-US"/>
        </w:rPr>
        <w:t xml:space="preserve"> driver of total sales by 2050. </w:t>
      </w:r>
      <w:r w:rsidR="00061BE8" w:rsidRPr="00B879BF">
        <w:rPr>
          <w:rFonts w:cstheme="minorHAnsi"/>
          <w:b/>
          <w:color w:val="0070C0"/>
          <w:sz w:val="24"/>
          <w:lang w:val="en-US"/>
        </w:rPr>
        <w:t xml:space="preserve">In the long term, total sales </w:t>
      </w:r>
      <w:r w:rsidR="00B25A7E">
        <w:rPr>
          <w:rFonts w:cstheme="minorHAnsi"/>
          <w:b/>
          <w:color w:val="0070C0"/>
          <w:sz w:val="24"/>
          <w:lang w:val="en-US"/>
        </w:rPr>
        <w:t xml:space="preserve">will </w:t>
      </w:r>
      <w:r w:rsidR="00061BE8" w:rsidRPr="00B879BF">
        <w:rPr>
          <w:rFonts w:cstheme="minorHAnsi"/>
          <w:b/>
          <w:color w:val="0070C0"/>
          <w:sz w:val="24"/>
          <w:lang w:val="en-US"/>
        </w:rPr>
        <w:t>stabilize at around 5 million units per year</w:t>
      </w:r>
      <w:r w:rsidR="00061BE8" w:rsidRPr="00282A30">
        <w:rPr>
          <w:rFonts w:cstheme="minorHAnsi"/>
          <w:color w:val="404040" w:themeColor="text1" w:themeTint="BF"/>
          <w:sz w:val="24"/>
          <w:lang w:val="en-US"/>
        </w:rPr>
        <w:t>.</w:t>
      </w:r>
      <w:r w:rsidR="00BD32C7">
        <w:rPr>
          <w:rFonts w:cstheme="minorHAnsi"/>
          <w:color w:val="404040" w:themeColor="text1" w:themeTint="BF"/>
          <w:sz w:val="24"/>
          <w:lang w:val="en-US"/>
        </w:rPr>
        <w:t xml:space="preserve"> </w:t>
      </w:r>
      <w:r w:rsidR="00B879BF" w:rsidRPr="00B879BF">
        <w:rPr>
          <w:rFonts w:cstheme="minorHAnsi"/>
          <w:color w:val="404040" w:themeColor="text1" w:themeTint="BF"/>
          <w:sz w:val="24"/>
          <w:lang w:val="en-US"/>
        </w:rPr>
        <w:t>It is important to note that this calculation does not include organic growth in demand, such as sales driven by demographic trends (new buildings for a growing population)</w:t>
      </w:r>
      <w:r w:rsidR="00B879BF">
        <w:rPr>
          <w:rFonts w:cstheme="minorHAnsi"/>
          <w:color w:val="404040" w:themeColor="text1" w:themeTint="BF"/>
          <w:sz w:val="24"/>
          <w:lang w:val="en-US"/>
        </w:rPr>
        <w:t>.</w:t>
      </w:r>
      <w:r w:rsidR="00BF2CA3">
        <w:rPr>
          <w:rFonts w:cstheme="minorHAnsi"/>
          <w:color w:val="404040" w:themeColor="text1" w:themeTint="BF"/>
          <w:sz w:val="24"/>
          <w:lang w:val="en-US"/>
        </w:rPr>
        <w:t xml:space="preserve"> </w:t>
      </w:r>
      <w:r w:rsidR="00BF2CA3" w:rsidRPr="00BF2CA3">
        <w:rPr>
          <w:rFonts w:cstheme="minorHAnsi"/>
          <w:color w:val="404040" w:themeColor="text1" w:themeTint="BF"/>
          <w:sz w:val="24"/>
          <w:lang w:val="en-US"/>
        </w:rPr>
        <w:t>This is why new unit sales drop to zero</w:t>
      </w:r>
      <w:r w:rsidR="00BF2CA3">
        <w:rPr>
          <w:rFonts w:cstheme="minorHAnsi"/>
          <w:color w:val="404040" w:themeColor="text1" w:themeTint="BF"/>
          <w:sz w:val="24"/>
          <w:lang w:val="en-US"/>
        </w:rPr>
        <w:t>.</w:t>
      </w:r>
    </w:p>
    <w:p w14:paraId="0A956852" w14:textId="77777777" w:rsidR="00A10528" w:rsidRDefault="00A10528" w:rsidP="00A10528">
      <w:pPr>
        <w:spacing w:after="0" w:line="240" w:lineRule="auto"/>
        <w:jc w:val="both"/>
        <w:rPr>
          <w:rFonts w:cstheme="minorHAnsi"/>
          <w:color w:val="404040" w:themeColor="text1" w:themeTint="BF"/>
          <w:sz w:val="24"/>
          <w:lang w:val="en-US"/>
        </w:rPr>
      </w:pPr>
    </w:p>
    <w:p w14:paraId="69DA9CAC" w14:textId="22A48217" w:rsidR="00A10528" w:rsidRDefault="00A10528" w:rsidP="00A10528">
      <w:pPr>
        <w:shd w:val="clear" w:color="auto" w:fill="D9E2F3" w:themeFill="accent1" w:themeFillTint="33"/>
        <w:spacing w:after="0" w:line="240" w:lineRule="auto"/>
        <w:jc w:val="both"/>
        <w:rPr>
          <w:rFonts w:cstheme="minorHAnsi"/>
          <w:color w:val="404040" w:themeColor="text1" w:themeTint="BF"/>
          <w:sz w:val="24"/>
          <w:lang w:val="en-US"/>
        </w:rPr>
      </w:pPr>
      <w:r w:rsidRPr="00A10528">
        <w:rPr>
          <w:rFonts w:cstheme="minorHAnsi"/>
          <w:color w:val="404040" w:themeColor="text1" w:themeTint="BF"/>
          <w:sz w:val="24"/>
          <w:lang w:val="en-US"/>
        </w:rPr>
        <w:t xml:space="preserve">Given the decline in sales in 2023 and 2024, and based on the calculations presented above, heat pump deployment plans are unlikely to </w:t>
      </w:r>
      <w:r>
        <w:rPr>
          <w:rFonts w:cstheme="minorHAnsi"/>
          <w:color w:val="404040" w:themeColor="text1" w:themeTint="BF"/>
          <w:sz w:val="24"/>
          <w:lang w:val="en-US"/>
        </w:rPr>
        <w:t>come true</w:t>
      </w:r>
      <w:r w:rsidRPr="00A10528">
        <w:rPr>
          <w:rFonts w:cstheme="minorHAnsi"/>
          <w:color w:val="404040" w:themeColor="text1" w:themeTint="BF"/>
          <w:sz w:val="24"/>
          <w:lang w:val="en-US"/>
        </w:rPr>
        <w:t xml:space="preserve"> without decisive action from the EU and national authorities. Long-term policy clarity, a roadmap to phase out fossil fuel heating, and measures to keep electricity prices competitive are essential to get back on track.</w:t>
      </w:r>
    </w:p>
    <w:p w14:paraId="6B57A3FA" w14:textId="77777777" w:rsidR="00A10528" w:rsidRDefault="00A10528" w:rsidP="00B879BF">
      <w:pPr>
        <w:spacing w:after="0" w:line="240" w:lineRule="auto"/>
        <w:jc w:val="both"/>
        <w:rPr>
          <w:rFonts w:cstheme="minorHAnsi"/>
          <w:color w:val="404040" w:themeColor="text1" w:themeTint="BF"/>
          <w:sz w:val="20"/>
          <w:lang w:val="en-US"/>
        </w:rPr>
      </w:pPr>
    </w:p>
    <w:p w14:paraId="16431086" w14:textId="7BB47305" w:rsidR="00B25A7E" w:rsidRPr="00A10528" w:rsidRDefault="00A10528" w:rsidP="00B879BF">
      <w:pPr>
        <w:spacing w:after="0" w:line="240" w:lineRule="auto"/>
        <w:jc w:val="both"/>
        <w:rPr>
          <w:rFonts w:cstheme="minorHAnsi"/>
          <w:i/>
          <w:color w:val="404040" w:themeColor="text1" w:themeTint="BF"/>
          <w:sz w:val="20"/>
          <w:lang w:val="en-US"/>
        </w:rPr>
      </w:pPr>
      <w:r w:rsidRPr="00A10528">
        <w:rPr>
          <w:rFonts w:cstheme="minorHAnsi"/>
          <w:i/>
          <w:color w:val="404040" w:themeColor="text1" w:themeTint="BF"/>
          <w:sz w:val="20"/>
          <w:lang w:val="en-US"/>
        </w:rPr>
        <w:t>M</w:t>
      </w:r>
      <w:r w:rsidR="00B25A7E" w:rsidRPr="00A10528">
        <w:rPr>
          <w:rFonts w:cstheme="minorHAnsi"/>
          <w:i/>
          <w:color w:val="404040" w:themeColor="text1" w:themeTint="BF"/>
          <w:sz w:val="20"/>
          <w:lang w:val="en-US"/>
        </w:rPr>
        <w:t xml:space="preserve">ore information on this </w:t>
      </w:r>
      <w:r w:rsidR="00756FF1">
        <w:rPr>
          <w:rFonts w:cstheme="minorHAnsi"/>
          <w:i/>
          <w:color w:val="404040" w:themeColor="text1" w:themeTint="BF"/>
          <w:sz w:val="20"/>
          <w:lang w:val="en-US"/>
        </w:rPr>
        <w:t>document</w:t>
      </w:r>
      <w:r w:rsidR="00B25A7E" w:rsidRPr="00A10528">
        <w:rPr>
          <w:rFonts w:cstheme="minorHAnsi"/>
          <w:i/>
          <w:color w:val="404040" w:themeColor="text1" w:themeTint="BF"/>
          <w:sz w:val="20"/>
          <w:lang w:val="en-US"/>
        </w:rPr>
        <w:t xml:space="preserve">: </w:t>
      </w:r>
      <w:r w:rsidR="00B25A7E" w:rsidRPr="00A10528">
        <w:rPr>
          <w:rFonts w:cstheme="minorHAnsi"/>
          <w:b/>
          <w:i/>
          <w:color w:val="404040" w:themeColor="text1" w:themeTint="BF"/>
          <w:sz w:val="20"/>
          <w:lang w:val="en-US"/>
        </w:rPr>
        <w:t xml:space="preserve">Author </w:t>
      </w:r>
      <w:r w:rsidR="00B25A7E" w:rsidRPr="00A10528">
        <w:rPr>
          <w:rFonts w:cstheme="minorHAnsi"/>
          <w:i/>
          <w:color w:val="404040" w:themeColor="text1" w:themeTint="BF"/>
          <w:sz w:val="20"/>
          <w:lang w:val="en-US"/>
        </w:rPr>
        <w:t xml:space="preserve">(Fernando Dominguez, University of Malaga -Spain, </w:t>
      </w:r>
      <w:hyperlink r:id="rId13" w:history="1">
        <w:r w:rsidR="00B25A7E" w:rsidRPr="00A10528">
          <w:rPr>
            <w:rStyle w:val="Hipervnculo"/>
            <w:rFonts w:cstheme="minorHAnsi"/>
            <w:i/>
            <w:sz w:val="20"/>
            <w:lang w:val="en-US"/>
          </w:rPr>
          <w:t>fdominguezm@uma.es</w:t>
        </w:r>
      </w:hyperlink>
      <w:r w:rsidR="00B25A7E" w:rsidRPr="00A10528">
        <w:rPr>
          <w:rFonts w:cstheme="minorHAnsi"/>
          <w:i/>
          <w:color w:val="404040" w:themeColor="text1" w:themeTint="BF"/>
          <w:sz w:val="20"/>
          <w:lang w:val="en-US"/>
        </w:rPr>
        <w:t xml:space="preserve">); </w:t>
      </w:r>
      <w:r w:rsidR="00B25A7E" w:rsidRPr="00A10528">
        <w:rPr>
          <w:rFonts w:cstheme="minorHAnsi"/>
          <w:b/>
          <w:i/>
          <w:color w:val="404040" w:themeColor="text1" w:themeTint="BF"/>
          <w:sz w:val="20"/>
          <w:lang w:val="en-US"/>
        </w:rPr>
        <w:t>Project’s coordinator</w:t>
      </w:r>
      <w:r w:rsidR="00B25A7E" w:rsidRPr="00A10528">
        <w:rPr>
          <w:rFonts w:cstheme="minorHAnsi"/>
          <w:i/>
          <w:color w:val="404040" w:themeColor="text1" w:themeTint="BF"/>
          <w:sz w:val="20"/>
          <w:lang w:val="en-US"/>
        </w:rPr>
        <w:t xml:space="preserve"> (Egidijus Babilas, Lithuanian Energy Institute, </w:t>
      </w:r>
      <w:hyperlink r:id="rId14" w:history="1">
        <w:r w:rsidR="00B25A7E" w:rsidRPr="00A10528">
          <w:rPr>
            <w:rStyle w:val="Hipervnculo"/>
            <w:rFonts w:cstheme="minorHAnsi"/>
            <w:i/>
            <w:sz w:val="20"/>
            <w:lang w:val="en-US"/>
          </w:rPr>
          <w:t>egidijus.babilas@lei.lt</w:t>
        </w:r>
      </w:hyperlink>
      <w:r w:rsidR="00B25A7E" w:rsidRPr="00A10528">
        <w:rPr>
          <w:rFonts w:cstheme="minorHAnsi"/>
          <w:i/>
          <w:color w:val="404040" w:themeColor="text1" w:themeTint="BF"/>
          <w:sz w:val="20"/>
          <w:lang w:val="en-US"/>
        </w:rPr>
        <w:t xml:space="preserve">) </w:t>
      </w:r>
    </w:p>
    <w:sectPr w:rsidR="00B25A7E" w:rsidRPr="00A10528" w:rsidSect="005A15AF">
      <w:type w:val="continuous"/>
      <w:pgSz w:w="11906" w:h="16838"/>
      <w:pgMar w:top="160" w:right="1080" w:bottom="1440" w:left="709" w:header="135"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5D9A" w14:textId="77777777" w:rsidR="00972AC8" w:rsidRDefault="00972AC8" w:rsidP="00436E66">
      <w:pPr>
        <w:spacing w:after="0" w:line="240" w:lineRule="auto"/>
      </w:pPr>
      <w:r>
        <w:separator/>
      </w:r>
    </w:p>
  </w:endnote>
  <w:endnote w:type="continuationSeparator" w:id="0">
    <w:p w14:paraId="7DF7E648" w14:textId="77777777" w:rsidR="00972AC8" w:rsidRDefault="00972AC8" w:rsidP="0043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136" w14:textId="77777777" w:rsidR="00664812" w:rsidRDefault="00664812">
    <w:pPr>
      <w:pStyle w:val="Piedepgina"/>
      <w:tabs>
        <w:tab w:val="left" w:pos="5130"/>
      </w:tabs>
    </w:pPr>
  </w:p>
  <w:p w14:paraId="05058982" w14:textId="77777777" w:rsidR="00244045" w:rsidRPr="00244045" w:rsidRDefault="00244045" w:rsidP="006F6C33">
    <w:pPr>
      <w:pStyle w:val="Piedepgina"/>
      <w:ind w:left="3261"/>
      <w:rPr>
        <w:b/>
        <w:sz w:val="20"/>
        <w:szCs w:val="20"/>
        <w:lang w:val="en-US"/>
      </w:rPr>
    </w:pPr>
    <w:r>
      <w:rPr>
        <w:noProof/>
      </w:rPr>
      <w:drawing>
        <wp:anchor distT="0" distB="0" distL="114300" distR="114300" simplePos="0" relativeHeight="251661312" behindDoc="0" locked="0" layoutInCell="1" allowOverlap="1" wp14:anchorId="2ECE201A" wp14:editId="34B2437D">
          <wp:simplePos x="0" y="0"/>
          <wp:positionH relativeFrom="margin">
            <wp:align>left</wp:align>
          </wp:positionH>
          <wp:positionV relativeFrom="page">
            <wp:posOffset>9647555</wp:posOffset>
          </wp:positionV>
          <wp:extent cx="1927225" cy="40386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403860"/>
                  </a:xfrm>
                  <a:prstGeom prst="rect">
                    <a:avLst/>
                  </a:prstGeom>
                  <a:noFill/>
                </pic:spPr>
              </pic:pic>
            </a:graphicData>
          </a:graphic>
          <wp14:sizeRelH relativeFrom="margin">
            <wp14:pctWidth>0</wp14:pctWidth>
          </wp14:sizeRelH>
          <wp14:sizeRelV relativeFrom="margin">
            <wp14:pctHeight>0</wp14:pctHeight>
          </wp14:sizeRelV>
        </wp:anchor>
      </w:drawing>
    </w:r>
    <w:r w:rsidRPr="00244045">
      <w:rPr>
        <w:b/>
        <w:sz w:val="20"/>
        <w:szCs w:val="20"/>
        <w:lang w:val="en-US"/>
      </w:rPr>
      <w:t>Project 101166359 — LIFE23-CET-Re-Energize</w:t>
    </w:r>
  </w:p>
  <w:p w14:paraId="4079017D" w14:textId="77777777" w:rsidR="006F6C33" w:rsidRDefault="006F6C33" w:rsidP="00E468D1">
    <w:pPr>
      <w:pStyle w:val="Piedepgina"/>
      <w:ind w:left="3261"/>
      <w:jc w:val="both"/>
      <w:rPr>
        <w:lang w:val="en-US"/>
      </w:rPr>
    </w:pPr>
    <w:r>
      <w:rPr>
        <w:sz w:val="20"/>
        <w:szCs w:val="20"/>
        <w:lang w:val="en-US"/>
      </w:rPr>
      <w:t xml:space="preserve">Co-funded by the European Union. Views and opinions expressed are however those of the author(s) only and do not necessarily reflect those of the European Union or CINEA. Neither the European Union nor the granting authority can be held responsible for them. </w:t>
    </w:r>
  </w:p>
  <w:p w14:paraId="7C887EE8" w14:textId="08C50C9A" w:rsidR="005D5A4D" w:rsidRDefault="005D5A4D" w:rsidP="005D5A4D">
    <w:pPr>
      <w:pStyle w:val="Piedepgina"/>
      <w:jc w:val="right"/>
    </w:pPr>
    <w:r>
      <w:rPr>
        <w:color w:val="4472C4" w:themeColor="accent1"/>
        <w:sz w:val="20"/>
        <w:szCs w:val="20"/>
      </w:rPr>
      <w:t xml:space="preserve">PAGE.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D3AFA43" w14:textId="77777777" w:rsidR="00436E66" w:rsidRPr="00436E66" w:rsidRDefault="00436E66">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8FDB" w14:textId="77777777" w:rsidR="00972AC8" w:rsidRDefault="00972AC8" w:rsidP="00436E66">
      <w:pPr>
        <w:spacing w:after="0" w:line="240" w:lineRule="auto"/>
      </w:pPr>
      <w:r>
        <w:separator/>
      </w:r>
    </w:p>
  </w:footnote>
  <w:footnote w:type="continuationSeparator" w:id="0">
    <w:p w14:paraId="3A67B186" w14:textId="77777777" w:rsidR="00972AC8" w:rsidRDefault="00972AC8" w:rsidP="00436E66">
      <w:pPr>
        <w:spacing w:after="0" w:line="240" w:lineRule="auto"/>
      </w:pPr>
      <w:r>
        <w:continuationSeparator/>
      </w:r>
    </w:p>
  </w:footnote>
  <w:footnote w:id="1">
    <w:p w14:paraId="556B4E2C" w14:textId="2C858FE6" w:rsidR="00B80996" w:rsidRPr="006F1409" w:rsidRDefault="00B80996">
      <w:pPr>
        <w:pStyle w:val="Textonotapie"/>
        <w:rPr>
          <w:i/>
        </w:rPr>
      </w:pPr>
      <w:r w:rsidRPr="006F1409">
        <w:rPr>
          <w:rStyle w:val="Refdenotaalpie"/>
          <w:i/>
        </w:rPr>
        <w:footnoteRef/>
      </w:r>
      <w:r w:rsidRPr="006F1409">
        <w:rPr>
          <w:i/>
          <w:lang w:val="en-US"/>
        </w:rPr>
        <w:t xml:space="preserve"> </w:t>
      </w:r>
      <w:proofErr w:type="spellStart"/>
      <w:r w:rsidRPr="006F1409">
        <w:rPr>
          <w:i/>
          <w:lang w:val="en-US"/>
        </w:rPr>
        <w:t>Toleikyte</w:t>
      </w:r>
      <w:proofErr w:type="spellEnd"/>
      <w:r w:rsidRPr="006F1409">
        <w:rPr>
          <w:i/>
          <w:lang w:val="en-US"/>
        </w:rPr>
        <w:t xml:space="preserve">, A. e. (2023). The Heat Pump Wave: Opportunities and Challenges, Publications Office of the European Union. </w:t>
      </w:r>
      <w:proofErr w:type="spellStart"/>
      <w:r w:rsidRPr="006F1409">
        <w:rPr>
          <w:i/>
        </w:rPr>
        <w:t>Publications</w:t>
      </w:r>
      <w:proofErr w:type="spellEnd"/>
      <w:r w:rsidRPr="006F1409">
        <w:rPr>
          <w:i/>
        </w:rPr>
        <w:t xml:space="preserve"> Office </w:t>
      </w:r>
      <w:proofErr w:type="spellStart"/>
      <w:r w:rsidRPr="006F1409">
        <w:rPr>
          <w:i/>
        </w:rPr>
        <w:t>of</w:t>
      </w:r>
      <w:proofErr w:type="spellEnd"/>
      <w:r w:rsidRPr="006F1409">
        <w:rPr>
          <w:i/>
        </w:rPr>
        <w:t xml:space="preserve"> </w:t>
      </w:r>
      <w:proofErr w:type="spellStart"/>
      <w:r w:rsidRPr="006F1409">
        <w:rPr>
          <w:i/>
        </w:rPr>
        <w:t>the</w:t>
      </w:r>
      <w:proofErr w:type="spellEnd"/>
      <w:r w:rsidRPr="006F1409">
        <w:rPr>
          <w:i/>
        </w:rPr>
        <w:t xml:space="preserve"> </w:t>
      </w:r>
      <w:proofErr w:type="spellStart"/>
      <w:r w:rsidRPr="006F1409">
        <w:rPr>
          <w:i/>
        </w:rPr>
        <w:t>European</w:t>
      </w:r>
      <w:proofErr w:type="spellEnd"/>
      <w:r w:rsidRPr="006F1409">
        <w:rPr>
          <w:i/>
        </w:rPr>
        <w:t xml:space="preserve"> </w:t>
      </w:r>
      <w:proofErr w:type="spellStart"/>
      <w:r w:rsidRPr="006F1409">
        <w:rPr>
          <w:i/>
        </w:rPr>
        <w:t>Union</w:t>
      </w:r>
      <w:proofErr w:type="spellEnd"/>
      <w:r w:rsidRPr="006F1409">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5372" w14:textId="598C6273" w:rsidR="00664812" w:rsidRDefault="00037472" w:rsidP="006F1409">
    <w:pPr>
      <w:pStyle w:val="Encabezado"/>
      <w:rPr>
        <w:rFonts w:ascii="Calibri" w:hAnsi="Calibri" w:cs="Calibri"/>
        <w:i/>
        <w:color w:val="0070C0"/>
        <w:sz w:val="32"/>
        <w:szCs w:val="52"/>
        <w:lang w:val="en-US"/>
      </w:rPr>
    </w:pPr>
    <w:r>
      <w:rPr>
        <w:noProof/>
      </w:rPr>
      <mc:AlternateContent>
        <mc:Choice Requires="wps">
          <w:drawing>
            <wp:anchor distT="0" distB="0" distL="114300" distR="114300" simplePos="0" relativeHeight="251662336" behindDoc="0" locked="0" layoutInCell="1" allowOverlap="1" wp14:anchorId="445F8172" wp14:editId="07791E8E">
              <wp:simplePos x="0" y="0"/>
              <wp:positionH relativeFrom="margin">
                <wp:posOffset>1480185</wp:posOffset>
              </wp:positionH>
              <wp:positionV relativeFrom="paragraph">
                <wp:posOffset>125095</wp:posOffset>
              </wp:positionV>
              <wp:extent cx="5162550" cy="93566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5162550" cy="935665"/>
                      </a:xfrm>
                      <a:prstGeom prst="rect">
                        <a:avLst/>
                      </a:prstGeom>
                      <a:solidFill>
                        <a:schemeClr val="lt1"/>
                      </a:solidFill>
                      <a:ln w="6350">
                        <a:noFill/>
                      </a:ln>
                    </wps:spPr>
                    <wps:txbx>
                      <w:txbxContent>
                        <w:p w14:paraId="34D25A66" w14:textId="4F1EC26D" w:rsidR="00244045" w:rsidRPr="00326219" w:rsidRDefault="00244045" w:rsidP="005A15AF">
                          <w:pPr>
                            <w:spacing w:after="0" w:line="240" w:lineRule="auto"/>
                            <w:rPr>
                              <w:rFonts w:ascii="Calibri" w:hAnsi="Calibri" w:cs="Calibri"/>
                              <w:i/>
                              <w:color w:val="0070C0"/>
                              <w:sz w:val="48"/>
                              <w:szCs w:val="56"/>
                              <w:lang w:val="en-US"/>
                            </w:rPr>
                          </w:pPr>
                          <w:r w:rsidRPr="00326219">
                            <w:rPr>
                              <w:rFonts w:ascii="Calibri" w:hAnsi="Calibri" w:cs="Calibri"/>
                              <w:b/>
                              <w:color w:val="0070C0"/>
                              <w:sz w:val="56"/>
                              <w:szCs w:val="56"/>
                              <w:lang w:val="en-US"/>
                            </w:rPr>
                            <w:t>#</w:t>
                          </w:r>
                          <w:r w:rsidR="008A4750" w:rsidRPr="00326219">
                            <w:rPr>
                              <w:rFonts w:ascii="Calibri" w:hAnsi="Calibri" w:cs="Calibri"/>
                              <w:b/>
                              <w:color w:val="0070C0"/>
                              <w:sz w:val="56"/>
                              <w:szCs w:val="56"/>
                              <w:lang w:val="en-US"/>
                            </w:rPr>
                            <w:t>HPinsights</w:t>
                          </w:r>
                          <w:r w:rsidR="005A15AF" w:rsidRPr="00326219">
                            <w:rPr>
                              <w:rFonts w:ascii="Calibri" w:hAnsi="Calibri" w:cs="Calibri"/>
                              <w:color w:val="0070C0"/>
                              <w:sz w:val="56"/>
                              <w:szCs w:val="56"/>
                              <w:lang w:val="en-US"/>
                            </w:rPr>
                            <w:t xml:space="preserve"> </w:t>
                          </w:r>
                          <w:r w:rsidR="00434A62" w:rsidRPr="00326219">
                            <w:rPr>
                              <w:rFonts w:ascii="Calibri" w:hAnsi="Calibri" w:cs="Calibri"/>
                              <w:color w:val="0070C0"/>
                              <w:sz w:val="56"/>
                              <w:szCs w:val="56"/>
                              <w:lang w:val="en-US"/>
                            </w:rPr>
                            <w:t xml:space="preserve">  </w:t>
                          </w:r>
                          <w:r w:rsidR="00756FF1">
                            <w:rPr>
                              <w:rFonts w:ascii="Calibri" w:hAnsi="Calibri" w:cs="Calibri"/>
                              <w:color w:val="0070C0"/>
                              <w:sz w:val="56"/>
                              <w:szCs w:val="56"/>
                              <w:lang w:val="en-US"/>
                            </w:rPr>
                            <w:t xml:space="preserve">                    </w:t>
                          </w:r>
                          <w:r w:rsidR="004627FA">
                            <w:rPr>
                              <w:rFonts w:ascii="Calibri" w:hAnsi="Calibri" w:cs="Calibri"/>
                              <w:color w:val="0070C0"/>
                              <w:sz w:val="28"/>
                              <w:szCs w:val="56"/>
                              <w:lang w:val="en-US"/>
                            </w:rPr>
                            <w:t>May 5</w:t>
                          </w:r>
                          <w:r w:rsidR="004627FA" w:rsidRPr="004627FA">
                            <w:rPr>
                              <w:rFonts w:ascii="Calibri" w:hAnsi="Calibri" w:cs="Calibri"/>
                              <w:color w:val="0070C0"/>
                              <w:sz w:val="28"/>
                              <w:szCs w:val="56"/>
                              <w:vertAlign w:val="superscript"/>
                              <w:lang w:val="en-US"/>
                            </w:rPr>
                            <w:t>th</w:t>
                          </w:r>
                          <w:r w:rsidR="00756FF1" w:rsidRPr="00756FF1">
                            <w:rPr>
                              <w:rFonts w:ascii="Calibri" w:hAnsi="Calibri" w:cs="Calibri"/>
                              <w:color w:val="0070C0"/>
                              <w:sz w:val="28"/>
                              <w:szCs w:val="56"/>
                              <w:lang w:val="en-US"/>
                            </w:rPr>
                            <w:t>, 2025</w:t>
                          </w:r>
                          <w:r w:rsidR="00434A62" w:rsidRPr="00756FF1">
                            <w:rPr>
                              <w:rFonts w:ascii="Calibri" w:hAnsi="Calibri" w:cs="Calibri"/>
                              <w:color w:val="0070C0"/>
                              <w:sz w:val="144"/>
                              <w:szCs w:val="56"/>
                              <w:lang w:val="en-US"/>
                            </w:rPr>
                            <w:t xml:space="preserve">        </w:t>
                          </w:r>
                        </w:p>
                        <w:p w14:paraId="04E2D14D" w14:textId="77777777" w:rsidR="006F6C33" w:rsidRPr="00326219" w:rsidRDefault="00244045" w:rsidP="005A15AF">
                          <w:pPr>
                            <w:spacing w:after="0" w:line="240" w:lineRule="auto"/>
                            <w:rPr>
                              <w:rFonts w:ascii="Calibri" w:hAnsi="Calibri" w:cs="Calibri"/>
                              <w:b/>
                              <w:color w:val="FE880C"/>
                              <w:sz w:val="56"/>
                              <w:szCs w:val="56"/>
                              <w:lang w:val="en-US"/>
                            </w:rPr>
                          </w:pPr>
                          <w:r w:rsidRPr="00326219">
                            <w:rPr>
                              <w:rFonts w:ascii="Calibri" w:hAnsi="Calibri" w:cs="Calibri"/>
                              <w:b/>
                              <w:color w:val="FE880C"/>
                              <w:sz w:val="56"/>
                              <w:szCs w:val="56"/>
                              <w:lang w:val="en-US"/>
                            </w:rPr>
                            <w:t>EU27 Heat Pump market forecast</w:t>
                          </w:r>
                          <w:r w:rsidR="006F6C33" w:rsidRPr="00326219">
                            <w:rPr>
                              <w:rFonts w:ascii="Calibri" w:hAnsi="Calibri" w:cs="Calibri"/>
                              <w:b/>
                              <w:color w:val="FE880C"/>
                              <w:sz w:val="56"/>
                              <w:szCs w:val="5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F8172" id="_x0000_t202" coordsize="21600,21600" o:spt="202" path="m,l,21600r21600,l21600,xe">
              <v:stroke joinstyle="miter"/>
              <v:path gradientshapeok="t" o:connecttype="rect"/>
            </v:shapetype>
            <v:shape id="Cuadro de texto 40" o:spid="_x0000_s1026" type="#_x0000_t202" style="position:absolute;margin-left:116.55pt;margin-top:9.85pt;width:406.5pt;height:7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" fillcolor="white [3201]" stroked="f" strokeweight=".5pt">
              <v:textbox>
                <w:txbxContent>
                  <w:p w14:paraId="34D25A66" w14:textId="4F1EC26D" w:rsidR="00244045" w:rsidRPr="00326219" w:rsidRDefault="00244045" w:rsidP="005A15AF">
                    <w:pPr>
                      <w:spacing w:after="0" w:line="240" w:lineRule="auto"/>
                      <w:rPr>
                        <w:rFonts w:ascii="Calibri" w:hAnsi="Calibri" w:cs="Calibri"/>
                        <w:i/>
                        <w:color w:val="0070C0"/>
                        <w:sz w:val="48"/>
                        <w:szCs w:val="56"/>
                        <w:lang w:val="en-US"/>
                      </w:rPr>
                    </w:pPr>
                    <w:r w:rsidRPr="00326219">
                      <w:rPr>
                        <w:rFonts w:ascii="Calibri" w:hAnsi="Calibri" w:cs="Calibri"/>
                        <w:b/>
                        <w:color w:val="0070C0"/>
                        <w:sz w:val="56"/>
                        <w:szCs w:val="56"/>
                        <w:lang w:val="en-US"/>
                      </w:rPr>
                      <w:t>#</w:t>
                    </w:r>
                    <w:r w:rsidR="008A4750" w:rsidRPr="00326219">
                      <w:rPr>
                        <w:rFonts w:ascii="Calibri" w:hAnsi="Calibri" w:cs="Calibri"/>
                        <w:b/>
                        <w:color w:val="0070C0"/>
                        <w:sz w:val="56"/>
                        <w:szCs w:val="56"/>
                        <w:lang w:val="en-US"/>
                      </w:rPr>
                      <w:t>HPinsights</w:t>
                    </w:r>
                    <w:r w:rsidR="005A15AF" w:rsidRPr="00326219">
                      <w:rPr>
                        <w:rFonts w:ascii="Calibri" w:hAnsi="Calibri" w:cs="Calibri"/>
                        <w:color w:val="0070C0"/>
                        <w:sz w:val="56"/>
                        <w:szCs w:val="56"/>
                        <w:lang w:val="en-US"/>
                      </w:rPr>
                      <w:t xml:space="preserve"> </w:t>
                    </w:r>
                    <w:r w:rsidR="00434A62" w:rsidRPr="00326219">
                      <w:rPr>
                        <w:rFonts w:ascii="Calibri" w:hAnsi="Calibri" w:cs="Calibri"/>
                        <w:color w:val="0070C0"/>
                        <w:sz w:val="56"/>
                        <w:szCs w:val="56"/>
                        <w:lang w:val="en-US"/>
                      </w:rPr>
                      <w:t xml:space="preserve">  </w:t>
                    </w:r>
                    <w:r w:rsidR="00756FF1">
                      <w:rPr>
                        <w:rFonts w:ascii="Calibri" w:hAnsi="Calibri" w:cs="Calibri"/>
                        <w:color w:val="0070C0"/>
                        <w:sz w:val="56"/>
                        <w:szCs w:val="56"/>
                        <w:lang w:val="en-US"/>
                      </w:rPr>
                      <w:t xml:space="preserve">                    </w:t>
                    </w:r>
                    <w:r w:rsidR="004627FA">
                      <w:rPr>
                        <w:rFonts w:ascii="Calibri" w:hAnsi="Calibri" w:cs="Calibri"/>
                        <w:color w:val="0070C0"/>
                        <w:sz w:val="28"/>
                        <w:szCs w:val="56"/>
                        <w:lang w:val="en-US"/>
                      </w:rPr>
                      <w:t>May 5</w:t>
                    </w:r>
                    <w:r w:rsidR="004627FA" w:rsidRPr="004627FA">
                      <w:rPr>
                        <w:rFonts w:ascii="Calibri" w:hAnsi="Calibri" w:cs="Calibri"/>
                        <w:color w:val="0070C0"/>
                        <w:sz w:val="28"/>
                        <w:szCs w:val="56"/>
                        <w:vertAlign w:val="superscript"/>
                        <w:lang w:val="en-US"/>
                      </w:rPr>
                      <w:t>th</w:t>
                    </w:r>
                    <w:r w:rsidR="00756FF1" w:rsidRPr="00756FF1">
                      <w:rPr>
                        <w:rFonts w:ascii="Calibri" w:hAnsi="Calibri" w:cs="Calibri"/>
                        <w:color w:val="0070C0"/>
                        <w:sz w:val="28"/>
                        <w:szCs w:val="56"/>
                        <w:lang w:val="en-US"/>
                      </w:rPr>
                      <w:t>, 2025</w:t>
                    </w:r>
                    <w:r w:rsidR="00434A62" w:rsidRPr="00756FF1">
                      <w:rPr>
                        <w:rFonts w:ascii="Calibri" w:hAnsi="Calibri" w:cs="Calibri"/>
                        <w:color w:val="0070C0"/>
                        <w:sz w:val="144"/>
                        <w:szCs w:val="56"/>
                        <w:lang w:val="en-US"/>
                      </w:rPr>
                      <w:t xml:space="preserve">        </w:t>
                    </w:r>
                  </w:p>
                  <w:p w14:paraId="04E2D14D" w14:textId="77777777" w:rsidR="006F6C33" w:rsidRPr="00326219" w:rsidRDefault="00244045" w:rsidP="005A15AF">
                    <w:pPr>
                      <w:spacing w:after="0" w:line="240" w:lineRule="auto"/>
                      <w:rPr>
                        <w:rFonts w:ascii="Calibri" w:hAnsi="Calibri" w:cs="Calibri"/>
                        <w:b/>
                        <w:color w:val="FE880C"/>
                        <w:sz w:val="56"/>
                        <w:szCs w:val="56"/>
                        <w:lang w:val="en-US"/>
                      </w:rPr>
                    </w:pPr>
                    <w:r w:rsidRPr="00326219">
                      <w:rPr>
                        <w:rFonts w:ascii="Calibri" w:hAnsi="Calibri" w:cs="Calibri"/>
                        <w:b/>
                        <w:color w:val="FE880C"/>
                        <w:sz w:val="56"/>
                        <w:szCs w:val="56"/>
                        <w:lang w:val="en-US"/>
                      </w:rPr>
                      <w:t>EU27 Heat Pump market forecast</w:t>
                    </w:r>
                    <w:r w:rsidR="006F6C33" w:rsidRPr="00326219">
                      <w:rPr>
                        <w:rFonts w:ascii="Calibri" w:hAnsi="Calibri" w:cs="Calibri"/>
                        <w:b/>
                        <w:color w:val="FE880C"/>
                        <w:sz w:val="56"/>
                        <w:szCs w:val="56"/>
                        <w:lang w:val="en-US"/>
                      </w:rPr>
                      <w:t xml:space="preserve"> </w:t>
                    </w:r>
                  </w:p>
                </w:txbxContent>
              </v:textbox>
              <w10:wrap anchorx="margin"/>
            </v:shape>
          </w:pict>
        </mc:Fallback>
      </mc:AlternateContent>
    </w:r>
    <w:r>
      <w:rPr>
        <w:noProof/>
      </w:rPr>
      <w:drawing>
        <wp:inline distT="0" distB="0" distL="0" distR="0" wp14:anchorId="5D3A33A8" wp14:editId="5B17556A">
          <wp:extent cx="1125855" cy="1125855"/>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972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6280" cy="1126280"/>
                  </a:xfrm>
                  <a:prstGeom prst="rect">
                    <a:avLst/>
                  </a:prstGeom>
                  <a:noFill/>
                  <a:ln>
                    <a:noFill/>
                  </a:ln>
                </pic:spPr>
              </pic:pic>
            </a:graphicData>
          </a:graphic>
        </wp:inline>
      </w:drawing>
    </w:r>
  </w:p>
  <w:p w14:paraId="174D877C" w14:textId="72481DE3" w:rsidR="00326219" w:rsidRPr="00231236" w:rsidRDefault="006F1409" w:rsidP="00326219">
    <w:pPr>
      <w:pStyle w:val="Encabezado"/>
      <w:ind w:left="-284"/>
      <w:rPr>
        <w:i/>
        <w:sz w:val="20"/>
        <w:szCs w:val="20"/>
      </w:rPr>
    </w:pPr>
    <w:r>
      <w:rPr>
        <w:noProof/>
      </w:rPr>
      <mc:AlternateContent>
        <mc:Choice Requires="wps">
          <w:drawing>
            <wp:anchor distT="0" distB="0" distL="114300" distR="114300" simplePos="0" relativeHeight="251663360" behindDoc="0" locked="0" layoutInCell="1" allowOverlap="1" wp14:anchorId="746AC1B7" wp14:editId="2ABC4890">
              <wp:simplePos x="0" y="0"/>
              <wp:positionH relativeFrom="page">
                <wp:posOffset>0</wp:posOffset>
              </wp:positionH>
              <wp:positionV relativeFrom="paragraph">
                <wp:posOffset>275590</wp:posOffset>
              </wp:positionV>
              <wp:extent cx="7569835" cy="20955"/>
              <wp:effectExtent l="0" t="19050" r="50165" b="55245"/>
              <wp:wrapNone/>
              <wp:docPr id="53" name="Conector recto 53"/>
              <wp:cNvGraphicFramePr/>
              <a:graphic xmlns:a="http://schemas.openxmlformats.org/drawingml/2006/main">
                <a:graphicData uri="http://schemas.microsoft.com/office/word/2010/wordprocessingShape">
                  <wps:wsp>
                    <wps:cNvCnPr/>
                    <wps:spPr>
                      <a:xfrm>
                        <a:off x="0" y="0"/>
                        <a:ext cx="7569835" cy="20955"/>
                      </a:xfrm>
                      <a:prstGeom prst="line">
                        <a:avLst/>
                      </a:prstGeom>
                      <a:ln w="635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F0681" id="Conector recto 5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1.7pt" to="596.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" strokecolor="#0070c0" strokeweight="5pt">
              <v:stroke joinstyle="miter"/>
              <w10:wrap anchorx="page"/>
            </v:line>
          </w:pict>
        </mc:Fallback>
      </mc:AlternateContent>
    </w:r>
    <w:r w:rsidR="00326219" w:rsidRPr="00231236">
      <w:rPr>
        <w:rFonts w:ascii="Calibri" w:hAnsi="Calibri" w:cs="Calibri"/>
        <w:i/>
        <w:color w:val="0070C0"/>
        <w:sz w:val="28"/>
        <w:szCs w:val="48"/>
        <w:lang w:val="en-US"/>
      </w:rPr>
      <w:t>Clean energy in action</w:t>
    </w:r>
  </w:p>
  <w:p w14:paraId="688A06F7" w14:textId="1CB54C98" w:rsidR="00664812" w:rsidRDefault="006648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46503A67"/>
    <w:multiLevelType w:val="hybridMultilevel"/>
    <w:tmpl w:val="35C8A2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EB3836"/>
    <w:multiLevelType w:val="hybridMultilevel"/>
    <w:tmpl w:val="3924A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7A33D7"/>
    <w:multiLevelType w:val="hybridMultilevel"/>
    <w:tmpl w:val="DAA47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1NzEwMDA1MjAzMjJV0lEKTi0uzszPAykwqwUArPh2UiwAAAA="/>
    <w:docVar w:name="StyleGuidePreference" w:val="-1"/>
    <w:docVar w:name="TrinkaDocId" w:val="7deadd96-279c-467d-a016-b1eed73f3109"/>
  </w:docVars>
  <w:rsids>
    <w:rsidRoot w:val="00436E66"/>
    <w:rsid w:val="000319EB"/>
    <w:rsid w:val="00037472"/>
    <w:rsid w:val="00061BE8"/>
    <w:rsid w:val="00075340"/>
    <w:rsid w:val="000908EE"/>
    <w:rsid w:val="000C6654"/>
    <w:rsid w:val="000E44D5"/>
    <w:rsid w:val="00231236"/>
    <w:rsid w:val="00244045"/>
    <w:rsid w:val="00282A30"/>
    <w:rsid w:val="002F0922"/>
    <w:rsid w:val="00302B72"/>
    <w:rsid w:val="00310CD5"/>
    <w:rsid w:val="00326219"/>
    <w:rsid w:val="003267F8"/>
    <w:rsid w:val="00434A62"/>
    <w:rsid w:val="00436E66"/>
    <w:rsid w:val="004627FA"/>
    <w:rsid w:val="004639BF"/>
    <w:rsid w:val="004955AD"/>
    <w:rsid w:val="00496D9F"/>
    <w:rsid w:val="00511B75"/>
    <w:rsid w:val="00516C61"/>
    <w:rsid w:val="005230F7"/>
    <w:rsid w:val="00580112"/>
    <w:rsid w:val="005A15AF"/>
    <w:rsid w:val="005B660D"/>
    <w:rsid w:val="005D2CA9"/>
    <w:rsid w:val="005D5A4D"/>
    <w:rsid w:val="00664812"/>
    <w:rsid w:val="006B523F"/>
    <w:rsid w:val="006F1409"/>
    <w:rsid w:val="006F2EFF"/>
    <w:rsid w:val="006F6C33"/>
    <w:rsid w:val="006F70DB"/>
    <w:rsid w:val="00756FF1"/>
    <w:rsid w:val="00793981"/>
    <w:rsid w:val="007E24A0"/>
    <w:rsid w:val="00844A8A"/>
    <w:rsid w:val="00870B48"/>
    <w:rsid w:val="00881EF9"/>
    <w:rsid w:val="008A4750"/>
    <w:rsid w:val="00914149"/>
    <w:rsid w:val="00972AC8"/>
    <w:rsid w:val="0099408B"/>
    <w:rsid w:val="009B38C1"/>
    <w:rsid w:val="00A10528"/>
    <w:rsid w:val="00AC4198"/>
    <w:rsid w:val="00B25A7E"/>
    <w:rsid w:val="00B26301"/>
    <w:rsid w:val="00B80996"/>
    <w:rsid w:val="00B879BF"/>
    <w:rsid w:val="00BB0E8C"/>
    <w:rsid w:val="00BD32C7"/>
    <w:rsid w:val="00BF2CA3"/>
    <w:rsid w:val="00C554F3"/>
    <w:rsid w:val="00C95467"/>
    <w:rsid w:val="00CB36EB"/>
    <w:rsid w:val="00CD2A7B"/>
    <w:rsid w:val="00DF569E"/>
    <w:rsid w:val="00E468D1"/>
    <w:rsid w:val="00F92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DEF2"/>
  <w15:chartTrackingRefBased/>
  <w15:docId w15:val="{E517E612-4B8E-4218-9872-A3E13ADF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6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6E66"/>
  </w:style>
  <w:style w:type="paragraph" w:styleId="Piedepgina">
    <w:name w:val="footer"/>
    <w:basedOn w:val="Normal"/>
    <w:link w:val="PiedepginaCar"/>
    <w:uiPriority w:val="99"/>
    <w:unhideWhenUsed/>
    <w:rsid w:val="00436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6E66"/>
  </w:style>
  <w:style w:type="paragraph" w:customStyle="1" w:styleId="ECVSubSectionHeading">
    <w:name w:val="_ECV_SubSectionHeading"/>
    <w:basedOn w:val="Normal"/>
    <w:rsid w:val="00664812"/>
    <w:pPr>
      <w:widowControl w:val="0"/>
      <w:suppressLineNumbers/>
      <w:suppressAutoHyphens/>
      <w:spacing w:after="0" w:line="100" w:lineRule="atLeast"/>
    </w:pPr>
    <w:rPr>
      <w:rFonts w:ascii="Arial" w:eastAsia="SimSun" w:hAnsi="Arial" w:cs="Mangal"/>
      <w:color w:val="0E4194"/>
      <w:spacing w:val="-6"/>
      <w:kern w:val="2"/>
      <w:szCs w:val="24"/>
      <w:lang w:val="en-GB" w:eastAsia="zh-CN" w:bidi="hi-IN"/>
    </w:rPr>
  </w:style>
  <w:style w:type="paragraph" w:customStyle="1" w:styleId="ECVOrganisationDetails">
    <w:name w:val="_ECV_OrganisationDetails"/>
    <w:basedOn w:val="Normal"/>
    <w:rsid w:val="00664812"/>
    <w:pPr>
      <w:widowControl w:val="0"/>
      <w:suppressLineNumbers/>
      <w:suppressAutoHyphens/>
      <w:autoSpaceDE w:val="0"/>
      <w:spacing w:before="57" w:after="85" w:line="100" w:lineRule="atLeast"/>
    </w:pPr>
    <w:rPr>
      <w:rFonts w:ascii="Arial" w:eastAsia="ArialMT" w:hAnsi="Arial" w:cs="ArialMT"/>
      <w:color w:val="3F3A38"/>
      <w:spacing w:val="-6"/>
      <w:kern w:val="2"/>
      <w:sz w:val="18"/>
      <w:szCs w:val="18"/>
      <w:lang w:val="en-GB" w:eastAsia="zh-CN" w:bidi="hi-IN"/>
    </w:rPr>
  </w:style>
  <w:style w:type="paragraph" w:customStyle="1" w:styleId="ECVSectionBullet">
    <w:name w:val="_ECV_SectionBullet"/>
    <w:basedOn w:val="Normal"/>
    <w:rsid w:val="00664812"/>
    <w:pPr>
      <w:widowControl w:val="0"/>
      <w:suppressLineNumbers/>
      <w:suppressAutoHyphens/>
      <w:autoSpaceDE w:val="0"/>
      <w:spacing w:after="0" w:line="100" w:lineRule="atLeast"/>
    </w:pPr>
    <w:rPr>
      <w:rFonts w:ascii="Arial" w:eastAsia="SimSun" w:hAnsi="Arial" w:cs="Mangal"/>
      <w:color w:val="3F3A38"/>
      <w:spacing w:val="-6"/>
      <w:kern w:val="2"/>
      <w:sz w:val="18"/>
      <w:szCs w:val="24"/>
      <w:lang w:val="en-GB" w:eastAsia="zh-CN" w:bidi="hi-IN"/>
    </w:rPr>
  </w:style>
  <w:style w:type="paragraph" w:customStyle="1" w:styleId="ECVDate">
    <w:name w:val="_ECV_Date"/>
    <w:basedOn w:val="Normal"/>
    <w:rsid w:val="00664812"/>
    <w:pPr>
      <w:widowControl w:val="0"/>
      <w:suppressLineNumbers/>
      <w:suppressAutoHyphens/>
      <w:spacing w:before="28" w:after="0" w:line="100" w:lineRule="atLeast"/>
      <w:ind w:right="283"/>
      <w:jc w:val="right"/>
    </w:pPr>
    <w:rPr>
      <w:rFonts w:ascii="Arial" w:eastAsia="SimSun" w:hAnsi="Arial" w:cs="Mangal"/>
      <w:color w:val="0E4194"/>
      <w:spacing w:val="-6"/>
      <w:kern w:val="2"/>
      <w:sz w:val="18"/>
      <w:szCs w:val="24"/>
      <w:lang w:val="en-GB" w:eastAsia="zh-CN" w:bidi="hi-IN"/>
    </w:rPr>
  </w:style>
  <w:style w:type="paragraph" w:styleId="Prrafodelista">
    <w:name w:val="List Paragraph"/>
    <w:basedOn w:val="Normal"/>
    <w:uiPriority w:val="34"/>
    <w:qFormat/>
    <w:rsid w:val="006B523F"/>
    <w:pPr>
      <w:ind w:left="720"/>
      <w:contextualSpacing/>
    </w:pPr>
  </w:style>
  <w:style w:type="paragraph" w:styleId="Textonotapie">
    <w:name w:val="footnote text"/>
    <w:basedOn w:val="Normal"/>
    <w:link w:val="TextonotapieCar"/>
    <w:uiPriority w:val="99"/>
    <w:semiHidden/>
    <w:unhideWhenUsed/>
    <w:rsid w:val="00B809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0996"/>
    <w:rPr>
      <w:sz w:val="20"/>
      <w:szCs w:val="20"/>
    </w:rPr>
  </w:style>
  <w:style w:type="character" w:styleId="Refdenotaalpie">
    <w:name w:val="footnote reference"/>
    <w:basedOn w:val="Fuentedeprrafopredeter"/>
    <w:uiPriority w:val="99"/>
    <w:semiHidden/>
    <w:unhideWhenUsed/>
    <w:rsid w:val="00B80996"/>
    <w:rPr>
      <w:vertAlign w:val="superscript"/>
    </w:rPr>
  </w:style>
  <w:style w:type="character" w:styleId="Hipervnculo">
    <w:name w:val="Hyperlink"/>
    <w:basedOn w:val="Fuentedeprrafopredeter"/>
    <w:uiPriority w:val="99"/>
    <w:unhideWhenUsed/>
    <w:rsid w:val="00B25A7E"/>
    <w:rPr>
      <w:color w:val="0563C1" w:themeColor="hyperlink"/>
      <w:u w:val="single"/>
    </w:rPr>
  </w:style>
  <w:style w:type="character" w:styleId="Mencinsinresolver">
    <w:name w:val="Unresolved Mention"/>
    <w:basedOn w:val="Fuentedeprrafopredeter"/>
    <w:uiPriority w:val="99"/>
    <w:semiHidden/>
    <w:unhideWhenUsed/>
    <w:rsid w:val="00B2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31265">
      <w:bodyDiv w:val="1"/>
      <w:marLeft w:val="0"/>
      <w:marRight w:val="0"/>
      <w:marTop w:val="0"/>
      <w:marBottom w:val="0"/>
      <w:divBdr>
        <w:top w:val="none" w:sz="0" w:space="0" w:color="auto"/>
        <w:left w:val="none" w:sz="0" w:space="0" w:color="auto"/>
        <w:bottom w:val="none" w:sz="0" w:space="0" w:color="auto"/>
        <w:right w:val="none" w:sz="0" w:space="0" w:color="auto"/>
      </w:divBdr>
    </w:div>
    <w:div w:id="1381132489">
      <w:bodyDiv w:val="1"/>
      <w:marLeft w:val="0"/>
      <w:marRight w:val="0"/>
      <w:marTop w:val="0"/>
      <w:marBottom w:val="0"/>
      <w:divBdr>
        <w:top w:val="none" w:sz="0" w:space="0" w:color="auto"/>
        <w:left w:val="none" w:sz="0" w:space="0" w:color="auto"/>
        <w:bottom w:val="none" w:sz="0" w:space="0" w:color="auto"/>
        <w:right w:val="none" w:sz="0" w:space="0" w:color="auto"/>
      </w:divBdr>
    </w:div>
    <w:div w:id="1528912647">
      <w:bodyDiv w:val="1"/>
      <w:marLeft w:val="0"/>
      <w:marRight w:val="0"/>
      <w:marTop w:val="0"/>
      <w:marBottom w:val="0"/>
      <w:divBdr>
        <w:top w:val="none" w:sz="0" w:space="0" w:color="auto"/>
        <w:left w:val="none" w:sz="0" w:space="0" w:color="auto"/>
        <w:bottom w:val="none" w:sz="0" w:space="0" w:color="auto"/>
        <w:right w:val="none" w:sz="0" w:space="0" w:color="auto"/>
      </w:divBdr>
    </w:div>
    <w:div w:id="15370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dominguezm@um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gidijus.babilas@lei.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242D-7D36-41FA-B30A-8C0E838F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2</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Fernando_casa</dc:creator>
  <cp:keywords/>
  <dc:description/>
  <cp:lastModifiedBy>Fernando</cp:lastModifiedBy>
  <cp:revision>13</cp:revision>
  <cp:lastPrinted>2025-03-31T21:29:00Z</cp:lastPrinted>
  <dcterms:created xsi:type="dcterms:W3CDTF">2025-03-28T15:07:00Z</dcterms:created>
  <dcterms:modified xsi:type="dcterms:W3CDTF">2025-05-05T11:58:00Z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